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020FA" w14:textId="77777777" w:rsidR="00373163" w:rsidRPr="00373163" w:rsidRDefault="00373163" w:rsidP="00373163">
      <w:pPr>
        <w:jc w:val="center"/>
        <w:rPr>
          <w:rFonts w:ascii="Times" w:hAnsi="Times" w:cs="Times New Roman"/>
          <w:sz w:val="28"/>
          <w:szCs w:val="28"/>
        </w:rPr>
      </w:pPr>
      <w:bookmarkStart w:id="0" w:name="_GoBack"/>
      <w:bookmarkEnd w:id="0"/>
    </w:p>
    <w:p w14:paraId="0B1DE559" w14:textId="77777777" w:rsidR="00CB34D1" w:rsidRPr="00373163" w:rsidRDefault="00373163" w:rsidP="00373163">
      <w:pPr>
        <w:jc w:val="center"/>
        <w:rPr>
          <w:rFonts w:ascii="Times" w:hAnsi="Times" w:cs="Times New Roman"/>
          <w:caps/>
          <w:sz w:val="28"/>
          <w:szCs w:val="28"/>
        </w:rPr>
      </w:pPr>
      <w:r w:rsidRPr="00373163">
        <w:rPr>
          <w:rFonts w:ascii="Times" w:hAnsi="Times" w:cs="Times New Roman"/>
          <w:caps/>
          <w:sz w:val="28"/>
          <w:szCs w:val="28"/>
        </w:rPr>
        <w:t xml:space="preserve">The Long and the Short of It: The Influence of Briefs </w:t>
      </w:r>
      <w:r>
        <w:rPr>
          <w:rFonts w:ascii="Times" w:hAnsi="Times" w:cs="Times New Roman"/>
          <w:caps/>
          <w:sz w:val="28"/>
          <w:szCs w:val="28"/>
        </w:rPr>
        <w:t>o</w:t>
      </w:r>
      <w:r w:rsidRPr="00373163">
        <w:rPr>
          <w:rFonts w:ascii="Times" w:hAnsi="Times" w:cs="Times New Roman"/>
          <w:caps/>
          <w:sz w:val="28"/>
          <w:szCs w:val="28"/>
        </w:rPr>
        <w:t xml:space="preserve">n </w:t>
      </w:r>
      <w:r>
        <w:rPr>
          <w:rFonts w:ascii="Times" w:hAnsi="Times" w:cs="Times New Roman"/>
          <w:caps/>
          <w:sz w:val="28"/>
          <w:szCs w:val="28"/>
        </w:rPr>
        <w:t xml:space="preserve">outcomes in </w:t>
      </w:r>
      <w:r w:rsidRPr="00373163">
        <w:rPr>
          <w:rFonts w:ascii="Times" w:hAnsi="Times" w:cs="Times New Roman"/>
          <w:caps/>
          <w:sz w:val="28"/>
          <w:szCs w:val="28"/>
        </w:rPr>
        <w:t>the Roberts Court</w:t>
      </w:r>
    </w:p>
    <w:p w14:paraId="14F44899" w14:textId="77777777" w:rsidR="00373163" w:rsidRPr="00373163" w:rsidRDefault="00373163" w:rsidP="00373163">
      <w:pPr>
        <w:jc w:val="center"/>
        <w:rPr>
          <w:rFonts w:ascii="Times" w:hAnsi="Times" w:cs="Times New Roman"/>
        </w:rPr>
      </w:pPr>
    </w:p>
    <w:p w14:paraId="7A91D112" w14:textId="77777777" w:rsidR="00A2212F" w:rsidRPr="00373163" w:rsidRDefault="00A2212F" w:rsidP="00373163">
      <w:pPr>
        <w:jc w:val="center"/>
        <w:rPr>
          <w:rFonts w:ascii="Times" w:hAnsi="Times" w:cs="Times New Roman"/>
        </w:rPr>
      </w:pPr>
      <w:r w:rsidRPr="00373163">
        <w:rPr>
          <w:rFonts w:ascii="Times" w:hAnsi="Times" w:cs="Times New Roman"/>
        </w:rPr>
        <w:t>Morgan L. W. Hazelton</w:t>
      </w:r>
      <w:r w:rsidR="00373163" w:rsidRPr="00373163">
        <w:rPr>
          <w:rStyle w:val="FootnoteReference"/>
          <w:rFonts w:ascii="Times" w:hAnsi="Times" w:cs="Times New Roman"/>
        </w:rPr>
        <w:footnoteReference w:id="1"/>
      </w:r>
    </w:p>
    <w:p w14:paraId="470EA848" w14:textId="77777777" w:rsidR="00A2212F" w:rsidRPr="00373163" w:rsidRDefault="00A2212F" w:rsidP="00373163">
      <w:pPr>
        <w:jc w:val="center"/>
        <w:rPr>
          <w:rFonts w:ascii="Times" w:hAnsi="Times" w:cs="Times New Roman"/>
        </w:rPr>
      </w:pPr>
    </w:p>
    <w:p w14:paraId="185ABF08" w14:textId="77777777" w:rsidR="00A2212F" w:rsidRPr="00373163" w:rsidRDefault="00A2212F" w:rsidP="00373163">
      <w:pPr>
        <w:jc w:val="center"/>
        <w:rPr>
          <w:rFonts w:ascii="Times" w:hAnsi="Times" w:cs="Times New Roman"/>
        </w:rPr>
      </w:pPr>
      <w:r w:rsidRPr="00373163">
        <w:rPr>
          <w:rFonts w:ascii="Times" w:hAnsi="Times" w:cs="Times New Roman"/>
        </w:rPr>
        <w:t>Rachael K. Hinkle</w:t>
      </w:r>
      <w:r w:rsidR="00373163" w:rsidRPr="00373163">
        <w:rPr>
          <w:rStyle w:val="FootnoteReference"/>
          <w:rFonts w:ascii="Times" w:hAnsi="Times" w:cs="Times New Roman"/>
        </w:rPr>
        <w:footnoteReference w:id="2"/>
      </w:r>
    </w:p>
    <w:p w14:paraId="6C5F4675" w14:textId="77777777" w:rsidR="00A2212F" w:rsidRPr="00373163" w:rsidRDefault="00A2212F" w:rsidP="00373163">
      <w:pPr>
        <w:jc w:val="center"/>
        <w:rPr>
          <w:rFonts w:ascii="Times" w:hAnsi="Times" w:cs="Times New Roman"/>
        </w:rPr>
      </w:pPr>
    </w:p>
    <w:p w14:paraId="1E1EEB52" w14:textId="77777777" w:rsidR="00A2212F" w:rsidRDefault="00A2212F" w:rsidP="00373163">
      <w:pPr>
        <w:jc w:val="center"/>
        <w:rPr>
          <w:rFonts w:ascii="Times" w:hAnsi="Times" w:cs="Times New Roman"/>
        </w:rPr>
      </w:pPr>
      <w:r w:rsidRPr="00373163">
        <w:rPr>
          <w:rFonts w:ascii="Times" w:hAnsi="Times" w:cs="Times New Roman"/>
        </w:rPr>
        <w:t xml:space="preserve">James F. </w:t>
      </w:r>
      <w:proofErr w:type="spellStart"/>
      <w:r w:rsidRPr="00373163">
        <w:rPr>
          <w:rFonts w:ascii="Times" w:hAnsi="Times" w:cs="Times New Roman"/>
        </w:rPr>
        <w:t>Spriggs</w:t>
      </w:r>
      <w:proofErr w:type="spellEnd"/>
      <w:r w:rsidRPr="00373163">
        <w:rPr>
          <w:rFonts w:ascii="Times" w:hAnsi="Times" w:cs="Times New Roman"/>
        </w:rPr>
        <w:t xml:space="preserve"> II</w:t>
      </w:r>
      <w:r w:rsidR="00373163" w:rsidRPr="00373163">
        <w:rPr>
          <w:rStyle w:val="FootnoteReference"/>
          <w:rFonts w:ascii="Times" w:hAnsi="Times" w:cs="Times New Roman"/>
        </w:rPr>
        <w:footnoteReference w:id="3"/>
      </w:r>
    </w:p>
    <w:p w14:paraId="23366329" w14:textId="77777777" w:rsidR="00E96C8F" w:rsidRDefault="00E96C8F" w:rsidP="00373163">
      <w:pPr>
        <w:jc w:val="center"/>
        <w:rPr>
          <w:rFonts w:ascii="Times" w:hAnsi="Times" w:cs="Times New Roman"/>
        </w:rPr>
      </w:pPr>
    </w:p>
    <w:p w14:paraId="7886E279" w14:textId="77777777" w:rsidR="00E96C8F" w:rsidRPr="00E96C8F" w:rsidRDefault="00E96C8F" w:rsidP="00160682">
      <w:pPr>
        <w:ind w:left="720" w:right="684"/>
        <w:jc w:val="both"/>
        <w:rPr>
          <w:rFonts w:ascii="Times New Roman" w:eastAsia="Times New Roman" w:hAnsi="Times New Roman" w:cs="Times New Roman"/>
        </w:rPr>
      </w:pPr>
      <w:r w:rsidRPr="00E96C8F">
        <w:rPr>
          <w:rFonts w:ascii="Times New Roman" w:eastAsia="Times New Roman" w:hAnsi="Times New Roman" w:cs="Times New Roman"/>
          <w:color w:val="000000"/>
          <w:shd w:val="clear" w:color="auto" w:fill="FFFFFF"/>
        </w:rPr>
        <w:t>This article considers the role of information, affected groups, and persuasion in the connection between justice votes and the content of briefs in the Roberts Court.  </w:t>
      </w:r>
      <w:r w:rsidR="00AE2146">
        <w:rPr>
          <w:rFonts w:ascii="Times New Roman" w:eastAsia="Times New Roman" w:hAnsi="Times New Roman" w:cs="Times New Roman"/>
          <w:color w:val="000000"/>
          <w:shd w:val="clear" w:color="auto" w:fill="FFFFFF"/>
        </w:rPr>
        <w:t>Our</w:t>
      </w:r>
      <w:r w:rsidRPr="00E96C8F">
        <w:rPr>
          <w:rFonts w:ascii="Times New Roman" w:eastAsia="Times New Roman" w:hAnsi="Times New Roman" w:cs="Times New Roman"/>
          <w:color w:val="000000"/>
          <w:shd w:val="clear" w:color="auto" w:fill="FFFFFF"/>
        </w:rPr>
        <w:t xml:space="preserve"> results shed new light on the previously observed finding that the side with the most briefs </w:t>
      </w:r>
      <w:r w:rsidR="004644F9">
        <w:rPr>
          <w:rFonts w:ascii="Times New Roman" w:eastAsia="Times New Roman" w:hAnsi="Times New Roman" w:cs="Times New Roman"/>
          <w:color w:val="000000"/>
          <w:shd w:val="clear" w:color="auto" w:fill="FFFFFF"/>
        </w:rPr>
        <w:t xml:space="preserve">is more likely to </w:t>
      </w:r>
      <w:r w:rsidR="00AE2146">
        <w:rPr>
          <w:rFonts w:ascii="Times New Roman" w:eastAsia="Times New Roman" w:hAnsi="Times New Roman" w:cs="Times New Roman"/>
          <w:color w:val="000000"/>
          <w:shd w:val="clear" w:color="auto" w:fill="FFFFFF"/>
        </w:rPr>
        <w:t>win</w:t>
      </w:r>
      <w:r w:rsidRPr="00E96C8F">
        <w:rPr>
          <w:rFonts w:ascii="Times New Roman" w:eastAsia="Times New Roman" w:hAnsi="Times New Roman" w:cs="Times New Roman"/>
          <w:color w:val="000000"/>
          <w:shd w:val="clear" w:color="auto" w:fill="FFFFFF"/>
        </w:rPr>
        <w:t xml:space="preserve">.  </w:t>
      </w:r>
      <w:r w:rsidR="00AE2146">
        <w:rPr>
          <w:rFonts w:ascii="Times New Roman" w:eastAsia="Times New Roman" w:hAnsi="Times New Roman" w:cs="Times New Roman"/>
          <w:color w:val="000000"/>
          <w:shd w:val="clear" w:color="auto" w:fill="FFFFFF"/>
        </w:rPr>
        <w:t>We</w:t>
      </w:r>
      <w:r w:rsidRPr="00E96C8F">
        <w:rPr>
          <w:rFonts w:ascii="Times New Roman" w:eastAsia="Times New Roman" w:hAnsi="Times New Roman" w:cs="Times New Roman"/>
          <w:color w:val="000000"/>
          <w:shd w:val="clear" w:color="auto" w:fill="FFFFFF"/>
        </w:rPr>
        <w:t xml:space="preserve"> find that the true advantage lies in providing the Court with a greater amount of information overall, and that holding total information constant, a greater number of briefs is, surprisingly, a disadvantage.</w:t>
      </w:r>
    </w:p>
    <w:p w14:paraId="69AB4034" w14:textId="77777777" w:rsidR="00373163" w:rsidRPr="00373163" w:rsidRDefault="00373163" w:rsidP="00A2212F">
      <w:pPr>
        <w:jc w:val="both"/>
        <w:rPr>
          <w:rFonts w:ascii="Times" w:hAnsi="Times" w:cs="Times New Roman"/>
        </w:rPr>
      </w:pPr>
    </w:p>
    <w:p w14:paraId="69CAFBA8" w14:textId="77777777" w:rsidR="00373163" w:rsidRPr="00373163" w:rsidRDefault="00373163" w:rsidP="00373163">
      <w:pPr>
        <w:jc w:val="center"/>
        <w:rPr>
          <w:rFonts w:ascii="Times" w:hAnsi="Times" w:cs="Times New Roman"/>
          <w:smallCaps/>
        </w:rPr>
      </w:pPr>
      <w:r w:rsidRPr="00373163">
        <w:rPr>
          <w:rFonts w:ascii="Times" w:hAnsi="Times" w:cs="Times New Roman"/>
          <w:smallCaps/>
        </w:rPr>
        <w:t>Introduction</w:t>
      </w:r>
    </w:p>
    <w:p w14:paraId="2B254409" w14:textId="77777777" w:rsidR="00373163" w:rsidRPr="00373163" w:rsidRDefault="00373163" w:rsidP="00A2212F">
      <w:pPr>
        <w:jc w:val="both"/>
        <w:rPr>
          <w:rFonts w:ascii="Times" w:hAnsi="Times" w:cs="Times New Roman"/>
        </w:rPr>
      </w:pPr>
    </w:p>
    <w:p w14:paraId="4FAFC53E" w14:textId="77777777" w:rsidR="00FC77B1" w:rsidRPr="00373163" w:rsidRDefault="00FC77B1" w:rsidP="00373163">
      <w:pPr>
        <w:ind w:firstLine="720"/>
        <w:jc w:val="both"/>
        <w:rPr>
          <w:rFonts w:ascii="Times" w:hAnsi="Times" w:cs="Times New Roman"/>
        </w:rPr>
      </w:pPr>
      <w:r w:rsidRPr="00373163">
        <w:rPr>
          <w:rFonts w:ascii="Times" w:hAnsi="Times" w:cs="Times New Roman"/>
        </w:rPr>
        <w:t xml:space="preserve">On April 23, 2016, the Supreme Court heard oral arguments in </w:t>
      </w:r>
      <w:r w:rsidRPr="00373163">
        <w:rPr>
          <w:rFonts w:ascii="Times" w:hAnsi="Times" w:cs="Times New Roman"/>
          <w:i/>
        </w:rPr>
        <w:t xml:space="preserve">McDonnell v. </w:t>
      </w:r>
      <w:r w:rsidR="00AE2146">
        <w:rPr>
          <w:rFonts w:ascii="Times" w:hAnsi="Times" w:cs="Times New Roman"/>
          <w:i/>
        </w:rPr>
        <w:t>United States</w:t>
      </w:r>
      <w:r w:rsidRPr="00373163">
        <w:rPr>
          <w:rFonts w:ascii="Times" w:hAnsi="Times" w:cs="Times New Roman"/>
        </w:rPr>
        <w:t xml:space="preserve"> a corruption case </w:t>
      </w:r>
      <w:r w:rsidR="00373163">
        <w:rPr>
          <w:rFonts w:ascii="Times" w:hAnsi="Times" w:cs="Times New Roman"/>
        </w:rPr>
        <w:t>concerning</w:t>
      </w:r>
      <w:r w:rsidRPr="00373163">
        <w:rPr>
          <w:rFonts w:ascii="Times" w:hAnsi="Times" w:cs="Times New Roman"/>
        </w:rPr>
        <w:t xml:space="preserve"> the appropriate standard for prosecutions</w:t>
      </w:r>
      <w:r w:rsidRPr="00373163">
        <w:rPr>
          <w:rFonts w:ascii="Times" w:hAnsi="Times" w:cs="Times New Roman"/>
          <w:i/>
        </w:rPr>
        <w:t>.</w:t>
      </w:r>
      <w:r w:rsidRPr="00373163">
        <w:rPr>
          <w:rStyle w:val="FootnoteReference"/>
          <w:rFonts w:ascii="Times" w:hAnsi="Times" w:cs="Times New Roman"/>
          <w:i/>
        </w:rPr>
        <w:footnoteReference w:id="4"/>
      </w:r>
      <w:r w:rsidRPr="00373163">
        <w:rPr>
          <w:rFonts w:ascii="Times" w:hAnsi="Times" w:cs="Times New Roman"/>
        </w:rPr>
        <w:t xml:space="preserve"> </w:t>
      </w:r>
      <w:r w:rsidR="00373163">
        <w:rPr>
          <w:rFonts w:ascii="Times" w:hAnsi="Times" w:cs="Times New Roman"/>
        </w:rPr>
        <w:t xml:space="preserve"> </w:t>
      </w:r>
      <w:r w:rsidRPr="00373163">
        <w:rPr>
          <w:rFonts w:ascii="Times" w:hAnsi="Times" w:cs="Times New Roman"/>
        </w:rPr>
        <w:t xml:space="preserve">Immediately after a deputy solicitor general began to lay out the government’s defense, Chief Justice Roberts </w:t>
      </w:r>
      <w:r w:rsidR="00AE2146">
        <w:rPr>
          <w:rFonts w:ascii="Times" w:hAnsi="Times" w:cs="Times New Roman"/>
        </w:rPr>
        <w:t>raised</w:t>
      </w:r>
      <w:r w:rsidRPr="00373163">
        <w:rPr>
          <w:rFonts w:ascii="Times" w:hAnsi="Times" w:cs="Times New Roman"/>
        </w:rPr>
        <w:t xml:space="preserve"> question</w:t>
      </w:r>
      <w:r w:rsidR="00373163">
        <w:rPr>
          <w:rFonts w:ascii="Times" w:hAnsi="Times" w:cs="Times New Roman"/>
        </w:rPr>
        <w:t>s</w:t>
      </w:r>
      <w:r w:rsidRPr="00373163">
        <w:rPr>
          <w:rFonts w:ascii="Times" w:hAnsi="Times" w:cs="Times New Roman"/>
        </w:rPr>
        <w:t xml:space="preserve"> </w:t>
      </w:r>
      <w:r w:rsidR="00AE2146">
        <w:rPr>
          <w:rFonts w:ascii="Times" w:hAnsi="Times" w:cs="Times New Roman"/>
        </w:rPr>
        <w:t>about</w:t>
      </w:r>
      <w:r w:rsidR="00AE2146" w:rsidRPr="00373163">
        <w:rPr>
          <w:rFonts w:ascii="Times" w:hAnsi="Times" w:cs="Times New Roman"/>
        </w:rPr>
        <w:t xml:space="preserve"> </w:t>
      </w:r>
      <w:r w:rsidRPr="00373163">
        <w:rPr>
          <w:rFonts w:ascii="Times" w:hAnsi="Times" w:cs="Times New Roman"/>
        </w:rPr>
        <w:t>an “extraordinary document” – an amicus curiae brief by former government attorneys</w:t>
      </w:r>
      <w:r w:rsidR="00892EFD" w:rsidRPr="00373163">
        <w:rPr>
          <w:rFonts w:ascii="Times" w:hAnsi="Times" w:cs="Times New Roman"/>
        </w:rPr>
        <w:t xml:space="preserve"> filed</w:t>
      </w:r>
      <w:r w:rsidRPr="00373163">
        <w:rPr>
          <w:rFonts w:ascii="Times" w:hAnsi="Times" w:cs="Times New Roman"/>
        </w:rPr>
        <w:t xml:space="preserve"> in opposition to the government</w:t>
      </w:r>
      <w:r w:rsidR="00892EFD" w:rsidRPr="00373163">
        <w:rPr>
          <w:rFonts w:ascii="Times" w:hAnsi="Times" w:cs="Times New Roman"/>
        </w:rPr>
        <w:t xml:space="preserve">’s </w:t>
      </w:r>
      <w:r w:rsidR="00892EFD" w:rsidRPr="00373163">
        <w:rPr>
          <w:rFonts w:ascii="Times" w:hAnsi="Times" w:cs="Times New Roman"/>
        </w:rPr>
        <w:lastRenderedPageBreak/>
        <w:t>position</w:t>
      </w:r>
      <w:r w:rsidRPr="00373163">
        <w:rPr>
          <w:rFonts w:ascii="Times" w:hAnsi="Times" w:cs="Times New Roman"/>
        </w:rPr>
        <w:t>.</w:t>
      </w:r>
      <w:r w:rsidRPr="00373163">
        <w:rPr>
          <w:rStyle w:val="FootnoteReference"/>
          <w:rFonts w:ascii="Times" w:hAnsi="Times" w:cs="Times New Roman"/>
        </w:rPr>
        <w:footnoteReference w:id="5"/>
      </w:r>
      <w:r w:rsidRPr="00373163">
        <w:rPr>
          <w:rFonts w:ascii="Times" w:hAnsi="Times" w:cs="Times New Roman"/>
        </w:rPr>
        <w:t xml:space="preserve">  </w:t>
      </w:r>
      <w:r w:rsidR="00373163">
        <w:rPr>
          <w:rFonts w:ascii="Times" w:hAnsi="Times" w:cs="Times New Roman"/>
        </w:rPr>
        <w:t>As some commentators predicted</w:t>
      </w:r>
      <w:r w:rsidR="00373163">
        <w:rPr>
          <w:rStyle w:val="FootnoteReference"/>
          <w:rFonts w:ascii="Times" w:hAnsi="Times" w:cs="Times New Roman"/>
        </w:rPr>
        <w:footnoteReference w:id="6"/>
      </w:r>
      <w:r w:rsidR="00096D35">
        <w:rPr>
          <w:rFonts w:ascii="Times" w:hAnsi="Times" w:cs="Times New Roman"/>
        </w:rPr>
        <w:t>, Justice Roberts’s questions</w:t>
      </w:r>
      <w:r w:rsidR="0041162B">
        <w:rPr>
          <w:rFonts w:ascii="Times" w:hAnsi="Times" w:cs="Times New Roman"/>
        </w:rPr>
        <w:t xml:space="preserve">, </w:t>
      </w:r>
      <w:r w:rsidR="00373163">
        <w:rPr>
          <w:rFonts w:ascii="Times" w:hAnsi="Times" w:cs="Times New Roman"/>
        </w:rPr>
        <w:t xml:space="preserve">in combination with </w:t>
      </w:r>
      <w:r w:rsidR="004644F9">
        <w:rPr>
          <w:rFonts w:ascii="Times" w:hAnsi="Times" w:cs="Times New Roman"/>
        </w:rPr>
        <w:t>inquiries</w:t>
      </w:r>
      <w:r w:rsidR="00373163">
        <w:rPr>
          <w:rFonts w:ascii="Times" w:hAnsi="Times" w:cs="Times New Roman"/>
        </w:rPr>
        <w:t xml:space="preserve"> from </w:t>
      </w:r>
      <w:r w:rsidR="0041162B">
        <w:rPr>
          <w:rFonts w:ascii="Times" w:hAnsi="Times" w:cs="Times New Roman"/>
        </w:rPr>
        <w:t xml:space="preserve">other </w:t>
      </w:r>
      <w:r w:rsidR="00373163">
        <w:rPr>
          <w:rFonts w:ascii="Times" w:hAnsi="Times" w:cs="Times New Roman"/>
        </w:rPr>
        <w:t>justices at oral argument, portended doom for the government’s argument</w:t>
      </w:r>
      <w:r w:rsidR="001F0A29">
        <w:rPr>
          <w:rFonts w:ascii="Times" w:hAnsi="Times" w:cs="Times New Roman"/>
        </w:rPr>
        <w:t>.</w:t>
      </w:r>
      <w:r w:rsidR="00373163">
        <w:rPr>
          <w:rStyle w:val="FootnoteReference"/>
          <w:rFonts w:ascii="Times" w:hAnsi="Times" w:cs="Times New Roman"/>
        </w:rPr>
        <w:footnoteReference w:id="7"/>
      </w:r>
      <w:r w:rsidR="00373163">
        <w:rPr>
          <w:rFonts w:ascii="Times" w:hAnsi="Times" w:cs="Times New Roman"/>
        </w:rPr>
        <w:t xml:space="preserve"> </w:t>
      </w:r>
      <w:r w:rsidRPr="00373163">
        <w:rPr>
          <w:rFonts w:ascii="Times" w:hAnsi="Times" w:cs="Times New Roman"/>
        </w:rPr>
        <w:t>This</w:t>
      </w:r>
      <w:r w:rsidR="004644F9">
        <w:rPr>
          <w:rFonts w:ascii="Times" w:hAnsi="Times" w:cs="Times New Roman"/>
        </w:rPr>
        <w:t xml:space="preserve"> case</w:t>
      </w:r>
      <w:r w:rsidRPr="00373163">
        <w:rPr>
          <w:rFonts w:ascii="Times" w:hAnsi="Times" w:cs="Times New Roman"/>
        </w:rPr>
        <w:t xml:space="preserve"> is just one of many examples in which </w:t>
      </w:r>
      <w:r w:rsidR="00373163">
        <w:rPr>
          <w:rFonts w:ascii="Times" w:hAnsi="Times" w:cs="Times New Roman"/>
        </w:rPr>
        <w:t>information found in briefs appears to have been important to justices</w:t>
      </w:r>
      <w:r w:rsidR="00892EFD" w:rsidRPr="00373163">
        <w:rPr>
          <w:rFonts w:ascii="Times" w:hAnsi="Times" w:cs="Times New Roman"/>
        </w:rPr>
        <w:t>.</w:t>
      </w:r>
      <w:r w:rsidR="00892EFD" w:rsidRPr="00373163">
        <w:rPr>
          <w:rStyle w:val="FootnoteReference"/>
          <w:rFonts w:ascii="Times" w:hAnsi="Times" w:cs="Times New Roman"/>
        </w:rPr>
        <w:footnoteReference w:id="8"/>
      </w:r>
    </w:p>
    <w:p w14:paraId="252EA94D" w14:textId="77777777" w:rsidR="005E61FF" w:rsidRDefault="00F76D1B" w:rsidP="00373163">
      <w:pPr>
        <w:ind w:firstLine="720"/>
        <w:jc w:val="both"/>
        <w:rPr>
          <w:rFonts w:ascii="Times" w:hAnsi="Times" w:cs="Times New Roman"/>
        </w:rPr>
      </w:pPr>
      <w:r w:rsidRPr="00373163">
        <w:rPr>
          <w:rFonts w:ascii="Times" w:hAnsi="Times" w:cs="Times New Roman"/>
        </w:rPr>
        <w:t xml:space="preserve">As amicus participation at the Supreme Court has grown over the years, so has </w:t>
      </w:r>
      <w:r w:rsidR="004644F9">
        <w:rPr>
          <w:rFonts w:ascii="Times" w:hAnsi="Times" w:cs="Times New Roman"/>
        </w:rPr>
        <w:t xml:space="preserve">the </w:t>
      </w:r>
      <w:r w:rsidRPr="00373163">
        <w:rPr>
          <w:rFonts w:ascii="Times" w:hAnsi="Times" w:cs="Times New Roman"/>
        </w:rPr>
        <w:t>interest in such filings.</w:t>
      </w:r>
      <w:r w:rsidRPr="00373163">
        <w:rPr>
          <w:rStyle w:val="FootnoteReference"/>
          <w:rFonts w:ascii="Times" w:hAnsi="Times" w:cs="Times New Roman"/>
        </w:rPr>
        <w:footnoteReference w:id="9"/>
      </w:r>
      <w:r w:rsidRPr="00373163">
        <w:rPr>
          <w:rFonts w:ascii="Times" w:hAnsi="Times" w:cs="Times New Roman"/>
        </w:rPr>
        <w:t xml:space="preserve"> Such </w:t>
      </w:r>
      <w:r w:rsidR="00373163">
        <w:rPr>
          <w:rFonts w:ascii="Times" w:hAnsi="Times" w:cs="Times New Roman"/>
        </w:rPr>
        <w:t xml:space="preserve">participation and </w:t>
      </w:r>
      <w:r w:rsidRPr="00373163">
        <w:rPr>
          <w:rFonts w:ascii="Times" w:hAnsi="Times" w:cs="Times New Roman"/>
        </w:rPr>
        <w:t>interest ha</w:t>
      </w:r>
      <w:r w:rsidR="000E74C3">
        <w:rPr>
          <w:rFonts w:ascii="Times" w:hAnsi="Times" w:cs="Times New Roman"/>
        </w:rPr>
        <w:t>ve</w:t>
      </w:r>
      <w:r w:rsidRPr="00373163">
        <w:rPr>
          <w:rFonts w:ascii="Times" w:hAnsi="Times" w:cs="Times New Roman"/>
        </w:rPr>
        <w:t xml:space="preserve"> continued </w:t>
      </w:r>
      <w:r w:rsidR="00373163">
        <w:rPr>
          <w:rFonts w:ascii="Times" w:hAnsi="Times" w:cs="Times New Roman"/>
        </w:rPr>
        <w:t xml:space="preserve">to grow during </w:t>
      </w:r>
      <w:r w:rsidRPr="00373163">
        <w:rPr>
          <w:rFonts w:ascii="Times" w:hAnsi="Times" w:cs="Times New Roman"/>
        </w:rPr>
        <w:t xml:space="preserve">the Roberts Court, with </w:t>
      </w:r>
      <w:r w:rsidR="00373163">
        <w:rPr>
          <w:rFonts w:ascii="Times" w:hAnsi="Times" w:cs="Times New Roman"/>
        </w:rPr>
        <w:t>commentators</w:t>
      </w:r>
      <w:r w:rsidRPr="00373163">
        <w:rPr>
          <w:rFonts w:ascii="Times" w:hAnsi="Times" w:cs="Times New Roman"/>
        </w:rPr>
        <w:t xml:space="preserve"> and scholars considering the role of </w:t>
      </w:r>
      <w:r w:rsidR="00E35EEC" w:rsidRPr="00373163">
        <w:rPr>
          <w:rFonts w:ascii="Times" w:hAnsi="Times" w:cs="Times New Roman"/>
        </w:rPr>
        <w:t xml:space="preserve">amicus </w:t>
      </w:r>
      <w:r w:rsidRPr="00373163">
        <w:rPr>
          <w:rFonts w:ascii="Times" w:hAnsi="Times" w:cs="Times New Roman"/>
        </w:rPr>
        <w:t>briefs in the decisions the justices make.</w:t>
      </w:r>
      <w:r w:rsidRPr="00373163">
        <w:rPr>
          <w:rStyle w:val="FootnoteReference"/>
          <w:rFonts w:ascii="Times" w:hAnsi="Times" w:cs="Times New Roman"/>
        </w:rPr>
        <w:footnoteReference w:id="10"/>
      </w:r>
      <w:r w:rsidRPr="00373163">
        <w:rPr>
          <w:rFonts w:ascii="Times" w:hAnsi="Times" w:cs="Times New Roman"/>
        </w:rPr>
        <w:t xml:space="preserve">  </w:t>
      </w:r>
      <w:r w:rsidR="007019A0">
        <w:rPr>
          <w:rFonts w:ascii="Times" w:hAnsi="Times" w:cs="Times New Roman"/>
        </w:rPr>
        <w:t>Scholars theorize</w:t>
      </w:r>
      <w:r w:rsidR="000E74C3">
        <w:rPr>
          <w:rFonts w:ascii="Times" w:hAnsi="Times" w:cs="Times New Roman"/>
        </w:rPr>
        <w:t xml:space="preserve"> </w:t>
      </w:r>
      <w:r w:rsidR="0041162B">
        <w:rPr>
          <w:rFonts w:ascii="Times" w:hAnsi="Times" w:cs="Times New Roman"/>
        </w:rPr>
        <w:t xml:space="preserve">that </w:t>
      </w:r>
      <w:r w:rsidR="000E74C3">
        <w:rPr>
          <w:rFonts w:ascii="Times" w:hAnsi="Times" w:cs="Times New Roman"/>
        </w:rPr>
        <w:t xml:space="preserve">briefs influence the justices </w:t>
      </w:r>
      <w:r w:rsidR="00096D35">
        <w:rPr>
          <w:rFonts w:ascii="Times" w:hAnsi="Times" w:cs="Times New Roman"/>
        </w:rPr>
        <w:t xml:space="preserve">by conveying </w:t>
      </w:r>
      <w:r w:rsidR="000E74C3">
        <w:rPr>
          <w:rFonts w:ascii="Times" w:hAnsi="Times" w:cs="Times New Roman"/>
        </w:rPr>
        <w:t xml:space="preserve">information </w:t>
      </w:r>
      <w:r w:rsidR="00096D35">
        <w:rPr>
          <w:rFonts w:ascii="Times" w:hAnsi="Times" w:cs="Times New Roman"/>
        </w:rPr>
        <w:t>relevant for deciding</w:t>
      </w:r>
      <w:r w:rsidR="000E74C3">
        <w:rPr>
          <w:rFonts w:ascii="Times" w:hAnsi="Times" w:cs="Times New Roman"/>
        </w:rPr>
        <w:t xml:space="preserve"> case</w:t>
      </w:r>
      <w:r w:rsidR="00096D35">
        <w:rPr>
          <w:rFonts w:ascii="Times" w:hAnsi="Times" w:cs="Times New Roman"/>
        </w:rPr>
        <w:t>s</w:t>
      </w:r>
      <w:r w:rsidR="000E74C3">
        <w:rPr>
          <w:rFonts w:ascii="Times" w:hAnsi="Times" w:cs="Times New Roman"/>
        </w:rPr>
        <w:t>.</w:t>
      </w:r>
      <w:r w:rsidR="007019A0">
        <w:rPr>
          <w:rStyle w:val="FootnoteReference"/>
          <w:rFonts w:ascii="Times" w:hAnsi="Times" w:cs="Times New Roman"/>
        </w:rPr>
        <w:footnoteReference w:id="11"/>
      </w:r>
      <w:r w:rsidR="000E74C3">
        <w:rPr>
          <w:rFonts w:ascii="Times" w:hAnsi="Times" w:cs="Times New Roman"/>
        </w:rPr>
        <w:t xml:space="preserve">  This information can help justices discern the range of alternatives available in </w:t>
      </w:r>
      <w:r w:rsidR="005A7D32">
        <w:rPr>
          <w:rFonts w:ascii="Times" w:hAnsi="Times" w:cs="Times New Roman"/>
        </w:rPr>
        <w:t>a</w:t>
      </w:r>
      <w:r w:rsidR="00096D35">
        <w:rPr>
          <w:rFonts w:ascii="Times" w:hAnsi="Times" w:cs="Times New Roman"/>
        </w:rPr>
        <w:t xml:space="preserve"> case, </w:t>
      </w:r>
      <w:r w:rsidR="000E74C3">
        <w:rPr>
          <w:rFonts w:ascii="Times" w:hAnsi="Times" w:cs="Times New Roman"/>
        </w:rPr>
        <w:t xml:space="preserve">how </w:t>
      </w:r>
      <w:r w:rsidR="004644F9">
        <w:rPr>
          <w:rFonts w:ascii="Times" w:hAnsi="Times" w:cs="Times New Roman"/>
        </w:rPr>
        <w:t xml:space="preserve">such </w:t>
      </w:r>
      <w:r w:rsidR="004644F9">
        <w:rPr>
          <w:rFonts w:ascii="Times" w:hAnsi="Times" w:cs="Times New Roman"/>
        </w:rPr>
        <w:lastRenderedPageBreak/>
        <w:t>options</w:t>
      </w:r>
      <w:r w:rsidR="000E74C3">
        <w:rPr>
          <w:rFonts w:ascii="Times" w:hAnsi="Times" w:cs="Times New Roman"/>
        </w:rPr>
        <w:t xml:space="preserve"> map onto </w:t>
      </w:r>
      <w:r w:rsidR="005E61FF">
        <w:rPr>
          <w:rFonts w:ascii="Times" w:hAnsi="Times" w:cs="Times New Roman"/>
        </w:rPr>
        <w:t>their</w:t>
      </w:r>
      <w:r w:rsidR="000E74C3">
        <w:rPr>
          <w:rFonts w:ascii="Times" w:hAnsi="Times" w:cs="Times New Roman"/>
        </w:rPr>
        <w:t xml:space="preserve"> preferences</w:t>
      </w:r>
      <w:r w:rsidR="00096D35">
        <w:rPr>
          <w:rFonts w:ascii="Times" w:hAnsi="Times" w:cs="Times New Roman"/>
        </w:rPr>
        <w:t xml:space="preserve">, </w:t>
      </w:r>
      <w:r w:rsidR="005E61FF">
        <w:rPr>
          <w:rFonts w:ascii="Times" w:hAnsi="Times" w:cs="Times New Roman"/>
        </w:rPr>
        <w:t xml:space="preserve">and </w:t>
      </w:r>
      <w:r w:rsidR="00096D35">
        <w:rPr>
          <w:rFonts w:ascii="Times" w:hAnsi="Times" w:cs="Times New Roman"/>
        </w:rPr>
        <w:t xml:space="preserve">the practical consequences of different legal </w:t>
      </w:r>
      <w:r w:rsidR="009F0FC9">
        <w:rPr>
          <w:rFonts w:ascii="Times" w:hAnsi="Times" w:cs="Times New Roman"/>
        </w:rPr>
        <w:t>rulings</w:t>
      </w:r>
      <w:r w:rsidR="000E74C3">
        <w:rPr>
          <w:rFonts w:ascii="Times" w:hAnsi="Times" w:cs="Times New Roman"/>
        </w:rPr>
        <w:t>.</w:t>
      </w:r>
      <w:r w:rsidR="00033F75">
        <w:rPr>
          <w:rStyle w:val="FootnoteReference"/>
          <w:rFonts w:ascii="Times" w:hAnsi="Times" w:cs="Times New Roman"/>
        </w:rPr>
        <w:footnoteReference w:id="12"/>
      </w:r>
      <w:r w:rsidR="000E74C3">
        <w:rPr>
          <w:rFonts w:ascii="Times" w:hAnsi="Times" w:cs="Times New Roman"/>
        </w:rPr>
        <w:t xml:space="preserve">  </w:t>
      </w:r>
    </w:p>
    <w:p w14:paraId="0A21B748" w14:textId="77777777" w:rsidR="00982BE3" w:rsidRDefault="005E61FF" w:rsidP="00373163">
      <w:pPr>
        <w:ind w:firstLine="720"/>
        <w:jc w:val="both"/>
        <w:rPr>
          <w:rFonts w:ascii="Times" w:hAnsi="Times" w:cs="Times New Roman"/>
        </w:rPr>
      </w:pPr>
      <w:r>
        <w:rPr>
          <w:rFonts w:ascii="Times" w:hAnsi="Times" w:cs="Times New Roman"/>
        </w:rPr>
        <w:t xml:space="preserve">Although </w:t>
      </w:r>
      <w:r w:rsidR="000E74C3">
        <w:rPr>
          <w:rFonts w:ascii="Times" w:hAnsi="Times" w:cs="Times New Roman"/>
        </w:rPr>
        <w:t xml:space="preserve">the conceptual focus of the literature is on the information </w:t>
      </w:r>
      <w:r w:rsidR="00096D35">
        <w:rPr>
          <w:rFonts w:ascii="Times" w:hAnsi="Times" w:cs="Times New Roman"/>
        </w:rPr>
        <w:t xml:space="preserve">provided by </w:t>
      </w:r>
      <w:r w:rsidR="000E74C3">
        <w:rPr>
          <w:rFonts w:ascii="Times" w:hAnsi="Times" w:cs="Times New Roman"/>
        </w:rPr>
        <w:t xml:space="preserve">briefs, empirical analyses </w:t>
      </w:r>
      <w:r w:rsidR="005A7D32">
        <w:rPr>
          <w:rFonts w:ascii="Times" w:hAnsi="Times" w:cs="Times New Roman"/>
        </w:rPr>
        <w:t xml:space="preserve">do not </w:t>
      </w:r>
      <w:r w:rsidR="00096D35">
        <w:rPr>
          <w:rFonts w:ascii="Times" w:hAnsi="Times" w:cs="Times New Roman"/>
        </w:rPr>
        <w:t>typically</w:t>
      </w:r>
      <w:r w:rsidR="005A7D32">
        <w:rPr>
          <w:rFonts w:ascii="Times" w:hAnsi="Times" w:cs="Times New Roman"/>
        </w:rPr>
        <w:t xml:space="preserve"> </w:t>
      </w:r>
      <w:r w:rsidR="000E74C3">
        <w:rPr>
          <w:rFonts w:ascii="Times" w:hAnsi="Times" w:cs="Times New Roman"/>
        </w:rPr>
        <w:t xml:space="preserve">examine </w:t>
      </w:r>
      <w:r w:rsidR="005A7D32">
        <w:rPr>
          <w:rFonts w:ascii="Times" w:hAnsi="Times" w:cs="Times New Roman"/>
        </w:rPr>
        <w:t xml:space="preserve">the informational content of briefs.  </w:t>
      </w:r>
      <w:r w:rsidR="00096D35">
        <w:rPr>
          <w:rFonts w:ascii="Times" w:hAnsi="Times" w:cs="Times New Roman"/>
        </w:rPr>
        <w:t xml:space="preserve">Rather, </w:t>
      </w:r>
      <w:r w:rsidR="001564F7">
        <w:rPr>
          <w:rFonts w:ascii="Times" w:hAnsi="Times" w:cs="Times New Roman"/>
        </w:rPr>
        <w:t xml:space="preserve">many </w:t>
      </w:r>
      <w:r w:rsidR="00096D35">
        <w:rPr>
          <w:rFonts w:ascii="Times" w:hAnsi="Times" w:cs="Times New Roman"/>
        </w:rPr>
        <w:t>previous studies focus on</w:t>
      </w:r>
      <w:r w:rsidR="005A7D32">
        <w:rPr>
          <w:rFonts w:ascii="Times" w:hAnsi="Times" w:cs="Times New Roman"/>
        </w:rPr>
        <w:t xml:space="preserve"> </w:t>
      </w:r>
      <w:r w:rsidR="000E74C3">
        <w:rPr>
          <w:rFonts w:ascii="Times" w:hAnsi="Times" w:cs="Times New Roman"/>
        </w:rPr>
        <w:t xml:space="preserve">the relationship between the number of briefs on a side and the likelihood of that side winning a case.  </w:t>
      </w:r>
      <w:r w:rsidR="009F0FC9">
        <w:rPr>
          <w:rFonts w:ascii="Times" w:hAnsi="Times" w:cs="Times New Roman"/>
        </w:rPr>
        <w:t>Studies find a modest relationship</w:t>
      </w:r>
      <w:r w:rsidR="000C4D55">
        <w:rPr>
          <w:rFonts w:ascii="Times" w:hAnsi="Times" w:cs="Times New Roman"/>
        </w:rPr>
        <w:t>, with estimates suggesting</w:t>
      </w:r>
      <w:r w:rsidR="009F0FC9">
        <w:rPr>
          <w:rFonts w:ascii="Times" w:hAnsi="Times" w:cs="Times New Roman"/>
        </w:rPr>
        <w:t xml:space="preserve"> </w:t>
      </w:r>
      <w:r>
        <w:rPr>
          <w:rFonts w:ascii="Times" w:hAnsi="Times" w:cs="Times New Roman"/>
        </w:rPr>
        <w:t xml:space="preserve">a three to five percent greater likelihood of winning for </w:t>
      </w:r>
      <w:r w:rsidR="001F0A29">
        <w:rPr>
          <w:rFonts w:ascii="Times" w:hAnsi="Times" w:cs="Times New Roman"/>
        </w:rPr>
        <w:t>the side with the most</w:t>
      </w:r>
      <w:r w:rsidR="009F0FC9">
        <w:rPr>
          <w:rFonts w:ascii="Times" w:hAnsi="Times" w:cs="Times New Roman"/>
        </w:rPr>
        <w:t xml:space="preserve"> briefs.</w:t>
      </w:r>
      <w:r w:rsidR="009F0FC9">
        <w:rPr>
          <w:rStyle w:val="FootnoteReference"/>
          <w:rFonts w:ascii="Times" w:hAnsi="Times" w:cs="Times New Roman"/>
        </w:rPr>
        <w:footnoteReference w:id="13"/>
      </w:r>
      <w:r w:rsidR="001F0A29">
        <w:rPr>
          <w:rFonts w:ascii="Times" w:hAnsi="Times" w:cs="Times New Roman"/>
        </w:rPr>
        <w:t xml:space="preserve">  </w:t>
      </w:r>
      <w:r>
        <w:rPr>
          <w:rFonts w:ascii="Times" w:hAnsi="Times" w:cs="Times New Roman"/>
        </w:rPr>
        <w:t>Without</w:t>
      </w:r>
      <w:r w:rsidR="000E74C3">
        <w:rPr>
          <w:rFonts w:ascii="Times" w:hAnsi="Times" w:cs="Times New Roman"/>
        </w:rPr>
        <w:t xml:space="preserve"> suggesting </w:t>
      </w:r>
      <w:r w:rsidR="000218D7">
        <w:rPr>
          <w:rFonts w:ascii="Times" w:hAnsi="Times" w:cs="Times New Roman"/>
        </w:rPr>
        <w:t xml:space="preserve">that </w:t>
      </w:r>
      <w:r w:rsidR="000E74C3">
        <w:rPr>
          <w:rFonts w:ascii="Times" w:hAnsi="Times" w:cs="Times New Roman"/>
        </w:rPr>
        <w:t xml:space="preserve">the volume of briefs is irrelevant, we argue research needs to </w:t>
      </w:r>
      <w:r w:rsidR="000E0972">
        <w:rPr>
          <w:rFonts w:ascii="Times" w:hAnsi="Times" w:cs="Times New Roman"/>
        </w:rPr>
        <w:t xml:space="preserve">tap </w:t>
      </w:r>
      <w:r w:rsidR="000E74C3">
        <w:rPr>
          <w:rFonts w:ascii="Times" w:hAnsi="Times" w:cs="Times New Roman"/>
        </w:rPr>
        <w:t xml:space="preserve">the informational content of briefs directly.   </w:t>
      </w:r>
      <w:r w:rsidR="00D7178B" w:rsidRPr="00373163">
        <w:rPr>
          <w:rFonts w:ascii="Times" w:hAnsi="Times" w:cs="Times New Roman"/>
        </w:rPr>
        <w:t xml:space="preserve">In </w:t>
      </w:r>
      <w:r w:rsidR="00373163">
        <w:rPr>
          <w:rFonts w:ascii="Times" w:hAnsi="Times" w:cs="Times New Roman"/>
        </w:rPr>
        <w:t>this article</w:t>
      </w:r>
      <w:r w:rsidR="005A7D32">
        <w:rPr>
          <w:rFonts w:ascii="Times" w:hAnsi="Times" w:cs="Times New Roman"/>
        </w:rPr>
        <w:t xml:space="preserve">, we </w:t>
      </w:r>
      <w:r w:rsidR="00933F9B">
        <w:rPr>
          <w:rFonts w:ascii="Times" w:hAnsi="Times" w:cs="Times New Roman"/>
        </w:rPr>
        <w:t xml:space="preserve">do just </w:t>
      </w:r>
      <w:proofErr w:type="gramStart"/>
      <w:r w:rsidR="00933F9B">
        <w:rPr>
          <w:rFonts w:ascii="Times" w:hAnsi="Times" w:cs="Times New Roman"/>
        </w:rPr>
        <w:t>that  by</w:t>
      </w:r>
      <w:proofErr w:type="gramEnd"/>
      <w:r w:rsidR="00933F9B">
        <w:rPr>
          <w:rFonts w:ascii="Times" w:hAnsi="Times" w:cs="Times New Roman"/>
        </w:rPr>
        <w:t xml:space="preserve"> </w:t>
      </w:r>
      <w:r w:rsidR="005A7D32">
        <w:rPr>
          <w:rFonts w:ascii="Times" w:hAnsi="Times" w:cs="Times New Roman"/>
        </w:rPr>
        <w:t>consider</w:t>
      </w:r>
      <w:r w:rsidR="00933F9B">
        <w:rPr>
          <w:rFonts w:ascii="Times" w:hAnsi="Times" w:cs="Times New Roman"/>
        </w:rPr>
        <w:t>ing</w:t>
      </w:r>
      <w:r w:rsidR="005A7D32">
        <w:rPr>
          <w:rFonts w:ascii="Times" w:hAnsi="Times" w:cs="Times New Roman"/>
        </w:rPr>
        <w:t xml:space="preserve"> the influence</w:t>
      </w:r>
      <w:r w:rsidR="00373163">
        <w:rPr>
          <w:rFonts w:ascii="Times" w:hAnsi="Times" w:cs="Times New Roman"/>
        </w:rPr>
        <w:t xml:space="preserve"> of</w:t>
      </w:r>
      <w:r w:rsidR="00D7178B" w:rsidRPr="00373163">
        <w:rPr>
          <w:rFonts w:ascii="Times" w:hAnsi="Times" w:cs="Times New Roman"/>
        </w:rPr>
        <w:t xml:space="preserve"> </w:t>
      </w:r>
      <w:r w:rsidR="005A7D32">
        <w:rPr>
          <w:rFonts w:ascii="Times" w:hAnsi="Times" w:cs="Times New Roman"/>
        </w:rPr>
        <w:t xml:space="preserve">the relative amount and breadth of </w:t>
      </w:r>
      <w:r w:rsidR="00BC08B8" w:rsidRPr="00373163">
        <w:rPr>
          <w:rFonts w:ascii="Times" w:hAnsi="Times" w:cs="Times New Roman"/>
        </w:rPr>
        <w:t>information contained</w:t>
      </w:r>
      <w:r w:rsidR="00D7178B" w:rsidRPr="00373163">
        <w:rPr>
          <w:rFonts w:ascii="Times" w:hAnsi="Times" w:cs="Times New Roman"/>
        </w:rPr>
        <w:t xml:space="preserve"> in </w:t>
      </w:r>
      <w:r w:rsidR="00982BE3">
        <w:rPr>
          <w:rFonts w:ascii="Times" w:hAnsi="Times" w:cs="Times New Roman"/>
        </w:rPr>
        <w:t xml:space="preserve">the </w:t>
      </w:r>
      <w:r w:rsidR="00D7178B" w:rsidRPr="00373163">
        <w:rPr>
          <w:rFonts w:ascii="Times" w:hAnsi="Times" w:cs="Times New Roman"/>
        </w:rPr>
        <w:t>party and amici briefs</w:t>
      </w:r>
      <w:r w:rsidR="00373163">
        <w:rPr>
          <w:rFonts w:ascii="Times" w:hAnsi="Times" w:cs="Times New Roman"/>
        </w:rPr>
        <w:t xml:space="preserve"> for each side </w:t>
      </w:r>
      <w:r w:rsidR="005A7D32">
        <w:rPr>
          <w:rFonts w:ascii="Times" w:hAnsi="Times" w:cs="Times New Roman"/>
        </w:rPr>
        <w:t xml:space="preserve">of a case </w:t>
      </w:r>
      <w:r w:rsidR="00373163">
        <w:rPr>
          <w:rFonts w:ascii="Times" w:hAnsi="Times" w:cs="Times New Roman"/>
        </w:rPr>
        <w:t xml:space="preserve">on the </w:t>
      </w:r>
      <w:r w:rsidR="000C4D55">
        <w:rPr>
          <w:rFonts w:ascii="Times" w:hAnsi="Times" w:cs="Times New Roman"/>
        </w:rPr>
        <w:t>justices’ votes</w:t>
      </w:r>
      <w:r w:rsidR="00D7178B" w:rsidRPr="00373163">
        <w:rPr>
          <w:rFonts w:ascii="Times" w:hAnsi="Times" w:cs="Times New Roman"/>
        </w:rPr>
        <w:t>.</w:t>
      </w:r>
      <w:r w:rsidR="000E74C3">
        <w:rPr>
          <w:rFonts w:ascii="Times" w:hAnsi="Times" w:cs="Times New Roman"/>
        </w:rPr>
        <w:t xml:space="preserve">  </w:t>
      </w:r>
      <w:r w:rsidR="000C4D55">
        <w:rPr>
          <w:rFonts w:ascii="Times" w:hAnsi="Times" w:cs="Times New Roman"/>
        </w:rPr>
        <w:t>T</w:t>
      </w:r>
      <w:r w:rsidR="00373163">
        <w:rPr>
          <w:rFonts w:ascii="Times" w:hAnsi="Times" w:cs="Times New Roman"/>
        </w:rPr>
        <w:t>his pooled appro</w:t>
      </w:r>
      <w:r w:rsidR="000C4D55">
        <w:rPr>
          <w:rFonts w:ascii="Times" w:hAnsi="Times" w:cs="Times New Roman"/>
        </w:rPr>
        <w:t xml:space="preserve">ach to </w:t>
      </w:r>
      <w:r w:rsidR="00F4480E">
        <w:rPr>
          <w:rFonts w:ascii="Times" w:hAnsi="Times" w:cs="Times New Roman"/>
        </w:rPr>
        <w:t xml:space="preserve">exploring </w:t>
      </w:r>
      <w:r w:rsidR="000C4D55">
        <w:rPr>
          <w:rFonts w:ascii="Times" w:hAnsi="Times" w:cs="Times New Roman"/>
        </w:rPr>
        <w:t>the role of all</w:t>
      </w:r>
      <w:r w:rsidR="00373163">
        <w:rPr>
          <w:rFonts w:ascii="Times" w:hAnsi="Times" w:cs="Times New Roman"/>
        </w:rPr>
        <w:t xml:space="preserve"> briefs is ideal based on</w:t>
      </w:r>
      <w:r w:rsidR="00D7178B" w:rsidRPr="00373163">
        <w:rPr>
          <w:rFonts w:ascii="Times" w:hAnsi="Times" w:cs="Times New Roman"/>
        </w:rPr>
        <w:t xml:space="preserve"> evidence of sophisticated coordination among parties and amici.</w:t>
      </w:r>
      <w:r w:rsidR="00D7178B" w:rsidRPr="00373163">
        <w:rPr>
          <w:rStyle w:val="FootnoteReference"/>
          <w:rFonts w:ascii="Times" w:hAnsi="Times" w:cs="Times New Roman"/>
        </w:rPr>
        <w:footnoteReference w:id="14"/>
      </w:r>
      <w:r w:rsidR="005A7D32">
        <w:rPr>
          <w:rFonts w:ascii="Times" w:hAnsi="Times" w:cs="Times New Roman"/>
        </w:rPr>
        <w:t xml:space="preserve">  </w:t>
      </w:r>
    </w:p>
    <w:p w14:paraId="4A81037F" w14:textId="77777777" w:rsidR="009E28BC" w:rsidRDefault="00982BE3" w:rsidP="003B3A83">
      <w:pPr>
        <w:ind w:firstLine="720"/>
        <w:jc w:val="both"/>
        <w:rPr>
          <w:rFonts w:ascii="Times" w:hAnsi="Times" w:cs="Times New Roman"/>
        </w:rPr>
      </w:pPr>
      <w:r>
        <w:rPr>
          <w:rFonts w:ascii="Times" w:hAnsi="Times" w:cs="Times New Roman"/>
        </w:rPr>
        <w:t xml:space="preserve">We first </w:t>
      </w:r>
      <w:r w:rsidR="004644F9">
        <w:rPr>
          <w:rFonts w:ascii="Times" w:hAnsi="Times" w:cs="Times New Roman"/>
        </w:rPr>
        <w:t xml:space="preserve">briefly </w:t>
      </w:r>
      <w:r>
        <w:rPr>
          <w:rFonts w:ascii="Times" w:hAnsi="Times" w:cs="Times New Roman"/>
        </w:rPr>
        <w:t>discuss the prevailing theoretical approaches to understanding the influence of briefs</w:t>
      </w:r>
      <w:r w:rsidR="00DD72DF">
        <w:rPr>
          <w:rFonts w:ascii="Times" w:hAnsi="Times" w:cs="Times New Roman"/>
        </w:rPr>
        <w:t xml:space="preserve">. This discussion leads to </w:t>
      </w:r>
      <w:r>
        <w:rPr>
          <w:rFonts w:ascii="Times" w:hAnsi="Times" w:cs="Times New Roman"/>
        </w:rPr>
        <w:t xml:space="preserve">a series of hypotheses about the role of information in influencing the justices’ votes on the merits.  </w:t>
      </w:r>
    </w:p>
    <w:p w14:paraId="526FFDC5" w14:textId="77777777" w:rsidR="00700A5A" w:rsidRDefault="00982BE3" w:rsidP="003B3A83">
      <w:pPr>
        <w:ind w:firstLine="720"/>
        <w:jc w:val="both"/>
        <w:rPr>
          <w:rFonts w:ascii="Times" w:hAnsi="Times" w:cs="Times New Roman"/>
        </w:rPr>
      </w:pPr>
      <w:r>
        <w:rPr>
          <w:rFonts w:ascii="Times" w:hAnsi="Times" w:cs="Times New Roman"/>
        </w:rPr>
        <w:t>We then describ</w:t>
      </w:r>
      <w:r w:rsidR="000C4D55">
        <w:rPr>
          <w:rFonts w:ascii="Times" w:hAnsi="Times" w:cs="Times New Roman"/>
        </w:rPr>
        <w:t>e our data</w:t>
      </w:r>
      <w:r w:rsidR="00E16184">
        <w:rPr>
          <w:rFonts w:ascii="Times" w:hAnsi="Times" w:cs="Times New Roman"/>
        </w:rPr>
        <w:t>set</w:t>
      </w:r>
      <w:r w:rsidR="000C4D55">
        <w:rPr>
          <w:rFonts w:ascii="Times" w:hAnsi="Times" w:cs="Times New Roman"/>
        </w:rPr>
        <w:t>, which consist</w:t>
      </w:r>
      <w:r w:rsidR="00E16184">
        <w:rPr>
          <w:rFonts w:ascii="Times" w:hAnsi="Times" w:cs="Times New Roman"/>
        </w:rPr>
        <w:t>s</w:t>
      </w:r>
      <w:r w:rsidR="000C4D55">
        <w:rPr>
          <w:rFonts w:ascii="Times" w:hAnsi="Times" w:cs="Times New Roman"/>
        </w:rPr>
        <w:t xml:space="preserve"> of</w:t>
      </w:r>
      <w:r>
        <w:rPr>
          <w:rFonts w:ascii="Times" w:hAnsi="Times" w:cs="Times New Roman"/>
        </w:rPr>
        <w:t xml:space="preserve"> 9,912 litigant and amici briefs filed in all orally argued cases decided by the Court </w:t>
      </w:r>
      <w:r w:rsidR="00E16184">
        <w:rPr>
          <w:rFonts w:ascii="Times" w:hAnsi="Times" w:cs="Times New Roman"/>
        </w:rPr>
        <w:t xml:space="preserve">between </w:t>
      </w:r>
      <w:r>
        <w:rPr>
          <w:rFonts w:ascii="Times" w:hAnsi="Times" w:cs="Times New Roman"/>
        </w:rPr>
        <w:t xml:space="preserve">the 2005 to 2015 Terms.  From these briefs, we </w:t>
      </w:r>
      <w:r w:rsidR="00FA37BF">
        <w:rPr>
          <w:rFonts w:ascii="Times" w:hAnsi="Times" w:cs="Times New Roman"/>
        </w:rPr>
        <w:t>create several measures of the</w:t>
      </w:r>
      <w:r>
        <w:rPr>
          <w:rFonts w:ascii="Times" w:hAnsi="Times" w:cs="Times New Roman"/>
        </w:rPr>
        <w:t xml:space="preserve"> </w:t>
      </w:r>
      <w:r w:rsidR="00FA37BF">
        <w:rPr>
          <w:rFonts w:ascii="Times" w:hAnsi="Times" w:cs="Times New Roman"/>
        </w:rPr>
        <w:t>amount and breadth of information provided for</w:t>
      </w:r>
      <w:r w:rsidR="008402C7">
        <w:rPr>
          <w:rFonts w:ascii="Times" w:hAnsi="Times" w:cs="Times New Roman"/>
        </w:rPr>
        <w:t xml:space="preserve"> each side</w:t>
      </w:r>
      <w:r>
        <w:rPr>
          <w:rFonts w:ascii="Times" w:hAnsi="Times" w:cs="Times New Roman"/>
        </w:rPr>
        <w:t>.  Our empirical tests determine to what degre</w:t>
      </w:r>
      <w:r w:rsidR="008402C7">
        <w:rPr>
          <w:rFonts w:ascii="Times" w:hAnsi="Times" w:cs="Times New Roman"/>
        </w:rPr>
        <w:t xml:space="preserve">e the justices’ votes </w:t>
      </w:r>
      <w:r>
        <w:rPr>
          <w:rFonts w:ascii="Times" w:hAnsi="Times" w:cs="Times New Roman"/>
        </w:rPr>
        <w:t>depend on the relative amount and breadth of information provided by each side, as well as the difference in the number o</w:t>
      </w:r>
      <w:r w:rsidR="008402C7">
        <w:rPr>
          <w:rFonts w:ascii="Times" w:hAnsi="Times" w:cs="Times New Roman"/>
        </w:rPr>
        <w:t>f briefs filed for each side</w:t>
      </w:r>
      <w:r>
        <w:rPr>
          <w:rFonts w:ascii="Times" w:hAnsi="Times" w:cs="Times New Roman"/>
        </w:rPr>
        <w:t>,</w:t>
      </w:r>
      <w:r w:rsidR="008402C7">
        <w:rPr>
          <w:rFonts w:ascii="Times" w:hAnsi="Times" w:cs="Times New Roman"/>
        </w:rPr>
        <w:t xml:space="preserve"> while controlling for</w:t>
      </w:r>
      <w:r>
        <w:rPr>
          <w:rFonts w:ascii="Times" w:hAnsi="Times" w:cs="Times New Roman"/>
        </w:rPr>
        <w:t xml:space="preserve"> other</w:t>
      </w:r>
      <w:r w:rsidR="008402C7">
        <w:rPr>
          <w:rFonts w:ascii="Times" w:hAnsi="Times" w:cs="Times New Roman"/>
        </w:rPr>
        <w:t xml:space="preserve"> relevant</w:t>
      </w:r>
      <w:r>
        <w:rPr>
          <w:rFonts w:ascii="Times" w:hAnsi="Times" w:cs="Times New Roman"/>
        </w:rPr>
        <w:t xml:space="preserve"> variables.  </w:t>
      </w:r>
    </w:p>
    <w:p w14:paraId="2D675837" w14:textId="77777777" w:rsidR="00373163" w:rsidRDefault="00982BE3" w:rsidP="003B3A83">
      <w:pPr>
        <w:ind w:firstLine="720"/>
        <w:jc w:val="both"/>
        <w:rPr>
          <w:rFonts w:ascii="Times" w:hAnsi="Times" w:cs="Times New Roman"/>
        </w:rPr>
      </w:pPr>
      <w:r>
        <w:rPr>
          <w:rFonts w:ascii="Times" w:hAnsi="Times" w:cs="Times New Roman"/>
        </w:rPr>
        <w:t xml:space="preserve">Our results indicate the justices are more likely to vote for the litigant whose supporting briefs provide a greater amount of information to the Court.  Importantly, after including variables for the content of the information in briefs, there is no evidence the justices are more likely to </w:t>
      </w:r>
      <w:r>
        <w:rPr>
          <w:rFonts w:ascii="Times" w:hAnsi="Times" w:cs="Times New Roman"/>
        </w:rPr>
        <w:lastRenderedPageBreak/>
        <w:t xml:space="preserve">vote for </w:t>
      </w:r>
      <w:r w:rsidR="009F0FC9">
        <w:rPr>
          <w:rFonts w:ascii="Times" w:hAnsi="Times" w:cs="Times New Roman"/>
        </w:rPr>
        <w:t>the s</w:t>
      </w:r>
      <w:r>
        <w:rPr>
          <w:rFonts w:ascii="Times" w:hAnsi="Times" w:cs="Times New Roman"/>
        </w:rPr>
        <w:t>ide with</w:t>
      </w:r>
      <w:r w:rsidR="008402C7">
        <w:rPr>
          <w:rFonts w:ascii="Times" w:hAnsi="Times" w:cs="Times New Roman"/>
        </w:rPr>
        <w:t xml:space="preserve"> more briefs</w:t>
      </w:r>
      <w:r>
        <w:rPr>
          <w:rFonts w:ascii="Times" w:hAnsi="Times" w:cs="Times New Roman"/>
        </w:rPr>
        <w:t xml:space="preserve">.  This result suggests the mechanism underlying the influence of briefs is informational content rather than merely the </w:t>
      </w:r>
      <w:r w:rsidR="008402C7">
        <w:rPr>
          <w:rFonts w:ascii="Times" w:hAnsi="Times" w:cs="Times New Roman"/>
        </w:rPr>
        <w:t>raw number</w:t>
      </w:r>
      <w:r>
        <w:rPr>
          <w:rFonts w:ascii="Times" w:hAnsi="Times" w:cs="Times New Roman"/>
        </w:rPr>
        <w:t xml:space="preserve"> of supporting briefs.  </w:t>
      </w:r>
    </w:p>
    <w:p w14:paraId="70B0142A" w14:textId="77777777" w:rsidR="00700A5A" w:rsidRPr="00373163" w:rsidRDefault="00700A5A" w:rsidP="003B3A83">
      <w:pPr>
        <w:ind w:firstLine="720"/>
        <w:jc w:val="both"/>
        <w:rPr>
          <w:rFonts w:ascii="Times" w:hAnsi="Times" w:cs="Times New Roman"/>
        </w:rPr>
      </w:pPr>
    </w:p>
    <w:p w14:paraId="2E027576" w14:textId="77777777" w:rsidR="00373163" w:rsidRPr="00373163" w:rsidRDefault="00373163" w:rsidP="00373163">
      <w:pPr>
        <w:pStyle w:val="ListParagraph"/>
        <w:numPr>
          <w:ilvl w:val="0"/>
          <w:numId w:val="7"/>
        </w:numPr>
        <w:jc w:val="center"/>
        <w:rPr>
          <w:rFonts w:ascii="Times" w:hAnsi="Times" w:cs="Times New Roman"/>
          <w:smallCaps/>
        </w:rPr>
      </w:pPr>
      <w:r w:rsidRPr="00373163">
        <w:rPr>
          <w:rFonts w:ascii="Times" w:hAnsi="Times" w:cs="Times New Roman"/>
          <w:smallCaps/>
        </w:rPr>
        <w:t>Theories Regarding the Influence of Briefs</w:t>
      </w:r>
    </w:p>
    <w:p w14:paraId="2F61006B" w14:textId="77777777" w:rsidR="00373163" w:rsidRPr="00373163" w:rsidRDefault="00373163" w:rsidP="00373163">
      <w:pPr>
        <w:jc w:val="both"/>
        <w:rPr>
          <w:rFonts w:ascii="Times" w:hAnsi="Times" w:cs="Times New Roman"/>
        </w:rPr>
      </w:pPr>
    </w:p>
    <w:p w14:paraId="3759C677" w14:textId="77777777" w:rsidR="003B3A83" w:rsidRDefault="00892EFD" w:rsidP="00373163">
      <w:pPr>
        <w:ind w:firstLine="720"/>
        <w:jc w:val="both"/>
        <w:rPr>
          <w:rFonts w:ascii="Times" w:hAnsi="Times" w:cs="Times New Roman"/>
        </w:rPr>
      </w:pPr>
      <w:r w:rsidRPr="00373163">
        <w:rPr>
          <w:rFonts w:ascii="Times" w:hAnsi="Times" w:cs="Times New Roman"/>
        </w:rPr>
        <w:t xml:space="preserve">There are multiple theories regarding the </w:t>
      </w:r>
      <w:r w:rsidR="004644F9">
        <w:rPr>
          <w:rFonts w:ascii="Times" w:hAnsi="Times" w:cs="Times New Roman"/>
        </w:rPr>
        <w:t>importance</w:t>
      </w:r>
      <w:r w:rsidRPr="00373163">
        <w:rPr>
          <w:rFonts w:ascii="Times" w:hAnsi="Times" w:cs="Times New Roman"/>
        </w:rPr>
        <w:t xml:space="preserve"> of briefs on the decisions of the Court.  First, a</w:t>
      </w:r>
      <w:r w:rsidR="00F56655" w:rsidRPr="00373163">
        <w:rPr>
          <w:rFonts w:ascii="Times" w:hAnsi="Times" w:cs="Times New Roman"/>
        </w:rPr>
        <w:t xml:space="preserve">ccording </w:t>
      </w:r>
      <w:r w:rsidR="002A06EF">
        <w:rPr>
          <w:rFonts w:ascii="Times" w:hAnsi="Times" w:cs="Times New Roman"/>
        </w:rPr>
        <w:t xml:space="preserve">to </w:t>
      </w:r>
      <w:r w:rsidR="00373163">
        <w:rPr>
          <w:rFonts w:ascii="Times" w:hAnsi="Times" w:cs="Times New Roman"/>
        </w:rPr>
        <w:t>accounts that focus on the role of information in briefs</w:t>
      </w:r>
      <w:r w:rsidR="00F56655" w:rsidRPr="00373163">
        <w:rPr>
          <w:rFonts w:ascii="Times" w:hAnsi="Times" w:cs="Times New Roman"/>
        </w:rPr>
        <w:t xml:space="preserve">, </w:t>
      </w:r>
      <w:r w:rsidR="00373163">
        <w:rPr>
          <w:rFonts w:ascii="Times" w:hAnsi="Times" w:cs="Times New Roman"/>
        </w:rPr>
        <w:t>briefs are valuable because they contain facts and arguments</w:t>
      </w:r>
      <w:r w:rsidR="004644F9">
        <w:rPr>
          <w:rFonts w:ascii="Times" w:hAnsi="Times" w:cs="Times New Roman"/>
        </w:rPr>
        <w:t xml:space="preserve"> that help</w:t>
      </w:r>
      <w:r w:rsidRPr="00373163">
        <w:rPr>
          <w:rFonts w:ascii="Times" w:hAnsi="Times" w:cs="Times New Roman"/>
        </w:rPr>
        <w:t xml:space="preserve"> </w:t>
      </w:r>
      <w:r w:rsidR="00373163">
        <w:rPr>
          <w:rFonts w:ascii="Times" w:hAnsi="Times" w:cs="Times New Roman"/>
        </w:rPr>
        <w:t>the justices</w:t>
      </w:r>
      <w:r w:rsidRPr="00373163">
        <w:rPr>
          <w:rFonts w:ascii="Times" w:hAnsi="Times" w:cs="Times New Roman"/>
        </w:rPr>
        <w:t xml:space="preserve"> map preferences onto policies</w:t>
      </w:r>
      <w:r w:rsidR="00F56655" w:rsidRPr="00373163">
        <w:rPr>
          <w:rStyle w:val="FootnoteReference"/>
          <w:rFonts w:ascii="Times" w:hAnsi="Times" w:cs="Times New Roman"/>
        </w:rPr>
        <w:footnoteReference w:id="15"/>
      </w:r>
      <w:r w:rsidRPr="00373163">
        <w:rPr>
          <w:rFonts w:ascii="Times" w:hAnsi="Times" w:cs="Times New Roman"/>
        </w:rPr>
        <w:t xml:space="preserve"> </w:t>
      </w:r>
      <w:r w:rsidR="00373163">
        <w:rPr>
          <w:rFonts w:ascii="Times" w:hAnsi="Times" w:cs="Times New Roman"/>
        </w:rPr>
        <w:t>or discover “legally relevant material</w:t>
      </w:r>
      <w:r w:rsidR="00A01C08">
        <w:rPr>
          <w:rFonts w:ascii="Times" w:hAnsi="Times" w:cs="Times New Roman"/>
        </w:rPr>
        <w:t>.</w:t>
      </w:r>
      <w:r w:rsidR="00373163">
        <w:rPr>
          <w:rFonts w:ascii="Times" w:hAnsi="Times" w:cs="Times New Roman"/>
        </w:rPr>
        <w:t>”</w:t>
      </w:r>
      <w:r w:rsidR="00373163">
        <w:rPr>
          <w:rStyle w:val="FootnoteReference"/>
          <w:rFonts w:ascii="Times" w:hAnsi="Times" w:cs="Times New Roman"/>
        </w:rPr>
        <w:footnoteReference w:id="16"/>
      </w:r>
      <w:r w:rsidR="00373163">
        <w:rPr>
          <w:rFonts w:ascii="Times" w:hAnsi="Times" w:cs="Times New Roman"/>
        </w:rPr>
        <w:t xml:space="preserve"> </w:t>
      </w:r>
      <w:r w:rsidRPr="00373163">
        <w:rPr>
          <w:rFonts w:ascii="Times" w:hAnsi="Times" w:cs="Times New Roman"/>
        </w:rPr>
        <w:t xml:space="preserve"> Under </w:t>
      </w:r>
      <w:r w:rsidR="00373163">
        <w:rPr>
          <w:rFonts w:ascii="Times" w:hAnsi="Times" w:cs="Times New Roman"/>
        </w:rPr>
        <w:t>such theories</w:t>
      </w:r>
      <w:r w:rsidRPr="00373163">
        <w:rPr>
          <w:rFonts w:ascii="Times" w:hAnsi="Times" w:cs="Times New Roman"/>
        </w:rPr>
        <w:t>, additional information in favor of a side is likely to increase support for that side, as it reduces uncertainty and helps the justices craft their decisions.</w:t>
      </w:r>
      <w:r w:rsidRPr="00373163">
        <w:rPr>
          <w:rStyle w:val="FootnoteReference"/>
          <w:rFonts w:ascii="Times" w:hAnsi="Times" w:cs="Times New Roman"/>
        </w:rPr>
        <w:footnoteReference w:id="17"/>
      </w:r>
      <w:r w:rsidR="00F56655" w:rsidRPr="00373163">
        <w:rPr>
          <w:rFonts w:ascii="Times" w:hAnsi="Times" w:cs="Times New Roman"/>
        </w:rPr>
        <w:t xml:space="preserve"> </w:t>
      </w:r>
      <w:r w:rsidR="00083411">
        <w:rPr>
          <w:rFonts w:ascii="Times" w:hAnsi="Times" w:cs="Times New Roman"/>
        </w:rPr>
        <w:t>One can consider the amount of</w:t>
      </w:r>
      <w:r w:rsidR="00C461DB">
        <w:rPr>
          <w:rFonts w:ascii="Times" w:hAnsi="Times" w:cs="Times New Roman"/>
        </w:rPr>
        <w:t xml:space="preserve"> information presented</w:t>
      </w:r>
      <w:r w:rsidR="00083411">
        <w:rPr>
          <w:rFonts w:ascii="Times" w:hAnsi="Times" w:cs="Times New Roman"/>
        </w:rPr>
        <w:t xml:space="preserve"> in terms of, first, the total amount of in</w:t>
      </w:r>
      <w:r w:rsidR="00C461DB">
        <w:rPr>
          <w:rFonts w:ascii="Times" w:hAnsi="Times" w:cs="Times New Roman"/>
        </w:rPr>
        <w:t>formation presented</w:t>
      </w:r>
      <w:r w:rsidR="00083411">
        <w:rPr>
          <w:rFonts w:ascii="Times" w:hAnsi="Times" w:cs="Times New Roman"/>
        </w:rPr>
        <w:t xml:space="preserve">, where the side with the greater amount of information should be advantaged.  In addition to the relative volume of information across the two sides of a case, they can differ in terms of the breadth of the information they provide.  Some briefs might discuss a wider array of issues and ideas, and the side with a wider array of legal theories and approaches may be more likely to win.  </w:t>
      </w:r>
      <w:r w:rsidR="00373163">
        <w:rPr>
          <w:rFonts w:ascii="Times" w:hAnsi="Times" w:cs="Times New Roman"/>
        </w:rPr>
        <w:t xml:space="preserve">Studies of the role of both ideology and cognitive processes indicate, however, that </w:t>
      </w:r>
      <w:r w:rsidR="00373163" w:rsidRPr="00373163">
        <w:rPr>
          <w:rFonts w:ascii="Times" w:hAnsi="Times" w:cs="Times New Roman"/>
        </w:rPr>
        <w:t xml:space="preserve">the influence of information </w:t>
      </w:r>
      <w:r w:rsidR="00373163">
        <w:rPr>
          <w:rFonts w:ascii="Times" w:hAnsi="Times" w:cs="Times New Roman"/>
        </w:rPr>
        <w:t xml:space="preserve">may be </w:t>
      </w:r>
      <w:r w:rsidR="003E29FF">
        <w:rPr>
          <w:rFonts w:ascii="Times" w:hAnsi="Times" w:cs="Times New Roman"/>
        </w:rPr>
        <w:t>filtered through</w:t>
      </w:r>
      <w:r w:rsidR="00373163">
        <w:rPr>
          <w:rFonts w:ascii="Times" w:hAnsi="Times" w:cs="Times New Roman"/>
        </w:rPr>
        <w:t xml:space="preserve"> the</w:t>
      </w:r>
      <w:r w:rsidR="00373163" w:rsidRPr="00373163">
        <w:rPr>
          <w:rFonts w:ascii="Times" w:hAnsi="Times" w:cs="Times New Roman"/>
        </w:rPr>
        <w:t xml:space="preserve"> preferences of the justices.</w:t>
      </w:r>
      <w:r w:rsidR="00373163" w:rsidRPr="00373163">
        <w:rPr>
          <w:rStyle w:val="FootnoteReference"/>
          <w:rFonts w:ascii="Times" w:hAnsi="Times" w:cs="Times New Roman"/>
        </w:rPr>
        <w:footnoteReference w:id="18"/>
      </w:r>
      <w:r w:rsidR="00373163" w:rsidRPr="00373163">
        <w:rPr>
          <w:rFonts w:ascii="Times" w:hAnsi="Times" w:cs="Times New Roman"/>
        </w:rPr>
        <w:t xml:space="preserve">  </w:t>
      </w:r>
    </w:p>
    <w:p w14:paraId="0A1F828C" w14:textId="77777777" w:rsidR="00F56655" w:rsidRDefault="00C132BC" w:rsidP="00373163">
      <w:pPr>
        <w:ind w:firstLine="720"/>
        <w:jc w:val="both"/>
        <w:rPr>
          <w:rFonts w:ascii="Times" w:hAnsi="Times" w:cs="Times New Roman"/>
        </w:rPr>
      </w:pPr>
      <w:r>
        <w:rPr>
          <w:rFonts w:ascii="Times" w:hAnsi="Times" w:cs="Times New Roman"/>
        </w:rPr>
        <w:t>Second</w:t>
      </w:r>
      <w:r w:rsidR="00373163">
        <w:rPr>
          <w:rFonts w:ascii="Times" w:hAnsi="Times" w:cs="Times New Roman"/>
        </w:rPr>
        <w:t>, affected groups or interest group theory indicates</w:t>
      </w:r>
      <w:r w:rsidR="00373163" w:rsidRPr="00373163">
        <w:rPr>
          <w:rFonts w:ascii="Times" w:hAnsi="Times" w:cs="Times New Roman"/>
        </w:rPr>
        <w:t xml:space="preserve"> the number of groups filing briefs on a side </w:t>
      </w:r>
      <w:r w:rsidR="00373163">
        <w:rPr>
          <w:rFonts w:ascii="Times" w:hAnsi="Times" w:cs="Times New Roman"/>
        </w:rPr>
        <w:t>may be</w:t>
      </w:r>
      <w:r w:rsidR="00373163" w:rsidRPr="00373163">
        <w:rPr>
          <w:rFonts w:ascii="Times" w:hAnsi="Times" w:cs="Times New Roman"/>
        </w:rPr>
        <w:t xml:space="preserve"> important, regardless of amount of overall information provided, because it indicates general </w:t>
      </w:r>
      <w:r w:rsidR="00373163" w:rsidRPr="00373163">
        <w:rPr>
          <w:rFonts w:ascii="Times" w:hAnsi="Times" w:cs="Times New Roman"/>
        </w:rPr>
        <w:lastRenderedPageBreak/>
        <w:t>support for the position</w:t>
      </w:r>
      <w:r w:rsidR="00373163" w:rsidRPr="00373163">
        <w:rPr>
          <w:rStyle w:val="FootnoteReference"/>
          <w:rFonts w:ascii="Times" w:hAnsi="Times" w:cs="Times New Roman"/>
        </w:rPr>
        <w:footnoteReference w:id="19"/>
      </w:r>
      <w:r w:rsidR="00373163" w:rsidRPr="00373163">
        <w:rPr>
          <w:rFonts w:ascii="Times" w:hAnsi="Times" w:cs="Times New Roman"/>
        </w:rPr>
        <w:t xml:space="preserve"> or </w:t>
      </w:r>
      <w:r w:rsidR="00373163">
        <w:rPr>
          <w:rFonts w:ascii="Times" w:hAnsi="Times" w:cs="Times New Roman"/>
        </w:rPr>
        <w:t>specific support from powerful groups.</w:t>
      </w:r>
      <w:r w:rsidR="00373163" w:rsidRPr="00373163">
        <w:rPr>
          <w:rStyle w:val="FootnoteReference"/>
          <w:rFonts w:ascii="Times" w:hAnsi="Times" w:cs="Times New Roman"/>
        </w:rPr>
        <w:footnoteReference w:id="20"/>
      </w:r>
      <w:r w:rsidR="00373163">
        <w:rPr>
          <w:rFonts w:ascii="Times" w:hAnsi="Times" w:cs="Times New Roman"/>
        </w:rPr>
        <w:t xml:space="preserve">  Finally, </w:t>
      </w:r>
      <w:r w:rsidR="00526E36">
        <w:rPr>
          <w:rFonts w:ascii="Times" w:hAnsi="Times" w:cs="Times New Roman"/>
        </w:rPr>
        <w:t xml:space="preserve">some </w:t>
      </w:r>
      <w:r w:rsidR="00373163">
        <w:rPr>
          <w:rFonts w:ascii="Times" w:hAnsi="Times" w:cs="Times New Roman"/>
        </w:rPr>
        <w:t>scholars theorize briefs are more persuasive when they contain repetitive information.</w:t>
      </w:r>
      <w:r w:rsidR="00373163">
        <w:rPr>
          <w:rStyle w:val="FootnoteReference"/>
          <w:rFonts w:ascii="Times" w:hAnsi="Times" w:cs="Times New Roman"/>
        </w:rPr>
        <w:footnoteReference w:id="21"/>
      </w:r>
      <w:r w:rsidR="00373163">
        <w:rPr>
          <w:rStyle w:val="FootnoteReference"/>
          <w:rFonts w:ascii="Times" w:hAnsi="Times" w:cs="Times New Roman"/>
        </w:rPr>
        <w:footnoteReference w:id="22"/>
      </w:r>
      <w:r w:rsidR="00373163">
        <w:rPr>
          <w:rFonts w:ascii="Times" w:hAnsi="Times" w:cs="Times New Roman"/>
        </w:rPr>
        <w:t xml:space="preserve">  Specifically, persuasion theory indicates </w:t>
      </w:r>
      <w:r w:rsidR="002A06EF">
        <w:rPr>
          <w:rFonts w:ascii="Times" w:hAnsi="Times" w:cs="Times New Roman"/>
        </w:rPr>
        <w:t>the</w:t>
      </w:r>
      <w:r w:rsidR="00373163">
        <w:rPr>
          <w:rFonts w:ascii="Times" w:hAnsi="Times" w:cs="Times New Roman"/>
        </w:rPr>
        <w:t xml:space="preserve"> number of voices repeating an argument is more important than the total amount of information presented by a side.</w:t>
      </w:r>
      <w:r>
        <w:rPr>
          <w:rFonts w:ascii="Times" w:hAnsi="Times" w:cs="Times New Roman"/>
        </w:rPr>
        <w:t xml:space="preserve">  </w:t>
      </w:r>
      <w:r w:rsidR="0094188C">
        <w:rPr>
          <w:rFonts w:ascii="Times" w:hAnsi="Times" w:cs="Times New Roman"/>
        </w:rPr>
        <w:t xml:space="preserve">  </w:t>
      </w:r>
    </w:p>
    <w:p w14:paraId="75DFFAFD" w14:textId="77777777" w:rsidR="00373163" w:rsidRDefault="00373163" w:rsidP="003B3A83">
      <w:pPr>
        <w:ind w:firstLine="720"/>
        <w:jc w:val="both"/>
        <w:rPr>
          <w:rFonts w:ascii="Times" w:hAnsi="Times" w:cs="Times New Roman"/>
        </w:rPr>
      </w:pPr>
      <w:r>
        <w:rPr>
          <w:rFonts w:ascii="Times" w:hAnsi="Times" w:cs="Times New Roman"/>
        </w:rPr>
        <w:t xml:space="preserve">From these </w:t>
      </w:r>
      <w:r w:rsidR="00526E36">
        <w:rPr>
          <w:rFonts w:ascii="Times" w:hAnsi="Times" w:cs="Times New Roman"/>
        </w:rPr>
        <w:t xml:space="preserve">various accounts of </w:t>
      </w:r>
      <w:r>
        <w:rPr>
          <w:rFonts w:ascii="Times" w:hAnsi="Times" w:cs="Times New Roman"/>
        </w:rPr>
        <w:t xml:space="preserve">the influence of briefs on Supreme Court justices, we </w:t>
      </w:r>
      <w:r w:rsidR="002A06EF">
        <w:rPr>
          <w:rFonts w:ascii="Times" w:hAnsi="Times" w:cs="Times New Roman"/>
        </w:rPr>
        <w:t>propose</w:t>
      </w:r>
      <w:r>
        <w:rPr>
          <w:rFonts w:ascii="Times" w:hAnsi="Times" w:cs="Times New Roman"/>
        </w:rPr>
        <w:t xml:space="preserve"> three hypotheses regarding the role of amicus briefs on the Roberts Court:</w:t>
      </w:r>
    </w:p>
    <w:p w14:paraId="2CACBCB7" w14:textId="77777777" w:rsidR="009C5D48" w:rsidRPr="0087358F" w:rsidRDefault="009C5D48" w:rsidP="0087358F">
      <w:pPr>
        <w:ind w:firstLine="720"/>
        <w:jc w:val="both"/>
        <w:rPr>
          <w:rFonts w:ascii="Times" w:hAnsi="Times" w:cs="Times New Roman"/>
        </w:rPr>
      </w:pPr>
    </w:p>
    <w:p w14:paraId="79D0753E" w14:textId="77777777" w:rsidR="004A1BE1" w:rsidRPr="00373163" w:rsidRDefault="00CB34D1" w:rsidP="00373163">
      <w:pPr>
        <w:ind w:left="720" w:right="720"/>
        <w:jc w:val="both"/>
        <w:rPr>
          <w:rFonts w:ascii="Times" w:hAnsi="Times" w:cs="Times New Roman"/>
          <w:i/>
        </w:rPr>
      </w:pPr>
      <w:r w:rsidRPr="00373163">
        <w:rPr>
          <w:rFonts w:ascii="Times" w:hAnsi="Times" w:cs="Times New Roman"/>
          <w:i/>
        </w:rPr>
        <w:t>Number of Briefs</w:t>
      </w:r>
      <w:r w:rsidR="00C74735" w:rsidRPr="00373163">
        <w:rPr>
          <w:rFonts w:ascii="Times" w:hAnsi="Times" w:cs="Times New Roman"/>
          <w:i/>
        </w:rPr>
        <w:t xml:space="preserve"> Hypothesis</w:t>
      </w:r>
      <w:r w:rsidR="0015493E" w:rsidRPr="00373163">
        <w:rPr>
          <w:rFonts w:ascii="Times" w:hAnsi="Times" w:cs="Times New Roman"/>
          <w:i/>
        </w:rPr>
        <w:t xml:space="preserve">: </w:t>
      </w:r>
      <w:r w:rsidRPr="00373163">
        <w:rPr>
          <w:rFonts w:ascii="Times" w:hAnsi="Times" w:cs="Times New Roman"/>
          <w:i/>
        </w:rPr>
        <w:t>An increase in the relative number of briefs filed arguing for reversal, over th</w:t>
      </w:r>
      <w:r w:rsidR="0087358F">
        <w:rPr>
          <w:rFonts w:ascii="Times" w:hAnsi="Times" w:cs="Times New Roman"/>
          <w:i/>
        </w:rPr>
        <w:t>ose</w:t>
      </w:r>
      <w:r w:rsidRPr="00373163">
        <w:rPr>
          <w:rFonts w:ascii="Times" w:hAnsi="Times" w:cs="Times New Roman"/>
          <w:i/>
        </w:rPr>
        <w:t xml:space="preserve"> arguing for affirmance, will increase the probability a justice votes for the petitioner</w:t>
      </w:r>
      <w:r w:rsidR="0015493E" w:rsidRPr="00373163">
        <w:rPr>
          <w:rFonts w:ascii="Times" w:hAnsi="Times" w:cs="Times New Roman"/>
          <w:i/>
        </w:rPr>
        <w:t>.</w:t>
      </w:r>
    </w:p>
    <w:p w14:paraId="4D2ED7A4" w14:textId="77777777" w:rsidR="00CB34D1" w:rsidRPr="00373163" w:rsidRDefault="00CB34D1" w:rsidP="00373163">
      <w:pPr>
        <w:ind w:left="720" w:right="720"/>
        <w:jc w:val="both"/>
        <w:rPr>
          <w:rFonts w:ascii="Times" w:hAnsi="Times" w:cs="Times New Roman"/>
          <w:i/>
        </w:rPr>
      </w:pPr>
    </w:p>
    <w:p w14:paraId="19137BD5" w14:textId="77777777" w:rsidR="00CB34D1" w:rsidRPr="00373163" w:rsidRDefault="0040027B" w:rsidP="00373163">
      <w:pPr>
        <w:ind w:left="720" w:right="720"/>
        <w:jc w:val="both"/>
        <w:rPr>
          <w:rFonts w:ascii="Times" w:hAnsi="Times" w:cs="Times New Roman"/>
          <w:i/>
        </w:rPr>
      </w:pPr>
      <w:r w:rsidRPr="00373163">
        <w:rPr>
          <w:rFonts w:ascii="Times" w:hAnsi="Times" w:cs="Times New Roman"/>
          <w:i/>
        </w:rPr>
        <w:t>Total</w:t>
      </w:r>
      <w:r w:rsidR="00CB34D1" w:rsidRPr="00373163">
        <w:rPr>
          <w:rFonts w:ascii="Times" w:hAnsi="Times" w:cs="Times New Roman"/>
          <w:i/>
        </w:rPr>
        <w:t xml:space="preserve"> Information Hypothesis: An increase in the total </w:t>
      </w:r>
      <w:r w:rsidR="00373163">
        <w:rPr>
          <w:rFonts w:ascii="Times" w:hAnsi="Times" w:cs="Times New Roman"/>
          <w:i/>
        </w:rPr>
        <w:t>amount of information in briefs</w:t>
      </w:r>
      <w:r w:rsidR="00CB34D1" w:rsidRPr="00373163">
        <w:rPr>
          <w:rFonts w:ascii="Times" w:hAnsi="Times" w:cs="Times New Roman"/>
          <w:i/>
        </w:rPr>
        <w:t xml:space="preserve"> filed arguing for reversal, </w:t>
      </w:r>
      <w:r w:rsidR="0087358F" w:rsidRPr="00373163">
        <w:rPr>
          <w:rFonts w:ascii="Times" w:hAnsi="Times" w:cs="Times New Roman"/>
          <w:i/>
        </w:rPr>
        <w:t>over th</w:t>
      </w:r>
      <w:r w:rsidR="0087358F">
        <w:rPr>
          <w:rFonts w:ascii="Times" w:hAnsi="Times" w:cs="Times New Roman"/>
          <w:i/>
        </w:rPr>
        <w:t>ose</w:t>
      </w:r>
      <w:r w:rsidR="0087358F" w:rsidRPr="00373163">
        <w:rPr>
          <w:rFonts w:ascii="Times" w:hAnsi="Times" w:cs="Times New Roman"/>
          <w:i/>
        </w:rPr>
        <w:t xml:space="preserve"> arguing for affirmance</w:t>
      </w:r>
      <w:r w:rsidR="00CB34D1" w:rsidRPr="00373163">
        <w:rPr>
          <w:rFonts w:ascii="Times" w:hAnsi="Times" w:cs="Times New Roman"/>
          <w:i/>
        </w:rPr>
        <w:t>, will increase the probability a justice votes for the petitioner.</w:t>
      </w:r>
    </w:p>
    <w:p w14:paraId="1B825846" w14:textId="77777777" w:rsidR="00CB34D1" w:rsidRPr="00373163" w:rsidRDefault="00CB34D1" w:rsidP="00373163">
      <w:pPr>
        <w:ind w:left="720" w:right="720"/>
        <w:jc w:val="both"/>
        <w:rPr>
          <w:rFonts w:ascii="Times" w:hAnsi="Times" w:cs="Times New Roman"/>
          <w:i/>
        </w:rPr>
      </w:pPr>
    </w:p>
    <w:p w14:paraId="72812A40" w14:textId="77777777" w:rsidR="00CB34D1" w:rsidRPr="00373163" w:rsidRDefault="00CB34D1" w:rsidP="00373163">
      <w:pPr>
        <w:ind w:left="720" w:right="720"/>
        <w:jc w:val="both"/>
        <w:rPr>
          <w:rFonts w:ascii="Times" w:hAnsi="Times" w:cs="Times New Roman"/>
          <w:i/>
        </w:rPr>
      </w:pPr>
      <w:r w:rsidRPr="00373163">
        <w:rPr>
          <w:rFonts w:ascii="Times" w:hAnsi="Times" w:cs="Times New Roman"/>
          <w:i/>
        </w:rPr>
        <w:t xml:space="preserve">Breadth of Information Hypothesis: An increase in the range of </w:t>
      </w:r>
      <w:r w:rsidR="00FF26DA" w:rsidRPr="00373163">
        <w:rPr>
          <w:rFonts w:ascii="Times" w:hAnsi="Times" w:cs="Times New Roman"/>
          <w:i/>
        </w:rPr>
        <w:t>different</w:t>
      </w:r>
      <w:r w:rsidRPr="00373163">
        <w:rPr>
          <w:rFonts w:ascii="Times" w:hAnsi="Times" w:cs="Times New Roman"/>
          <w:i/>
        </w:rPr>
        <w:t xml:space="preserve"> information in briefs filed arguing for reversal, </w:t>
      </w:r>
      <w:r w:rsidR="0087358F" w:rsidRPr="00373163">
        <w:rPr>
          <w:rFonts w:ascii="Times" w:hAnsi="Times" w:cs="Times New Roman"/>
          <w:i/>
        </w:rPr>
        <w:t>over th</w:t>
      </w:r>
      <w:r w:rsidR="0087358F">
        <w:rPr>
          <w:rFonts w:ascii="Times" w:hAnsi="Times" w:cs="Times New Roman"/>
          <w:i/>
        </w:rPr>
        <w:t>ose</w:t>
      </w:r>
      <w:r w:rsidR="0087358F" w:rsidRPr="00373163">
        <w:rPr>
          <w:rFonts w:ascii="Times" w:hAnsi="Times" w:cs="Times New Roman"/>
          <w:i/>
        </w:rPr>
        <w:t xml:space="preserve"> arguing for affirmance</w:t>
      </w:r>
      <w:r w:rsidRPr="00373163">
        <w:rPr>
          <w:rFonts w:ascii="Times" w:hAnsi="Times" w:cs="Times New Roman"/>
          <w:i/>
        </w:rPr>
        <w:t>, will increase the probability a justice votes for the petitioner.</w:t>
      </w:r>
    </w:p>
    <w:p w14:paraId="603EDBA0" w14:textId="77777777" w:rsidR="00CB34D1" w:rsidRPr="00373163" w:rsidRDefault="00CB34D1" w:rsidP="00373163">
      <w:pPr>
        <w:ind w:right="720"/>
        <w:jc w:val="both"/>
        <w:rPr>
          <w:rFonts w:ascii="Times" w:hAnsi="Times" w:cs="Times New Roman"/>
          <w:i/>
        </w:rPr>
      </w:pPr>
    </w:p>
    <w:p w14:paraId="667C650F" w14:textId="77777777" w:rsidR="00373163" w:rsidRPr="00373163" w:rsidRDefault="00373163" w:rsidP="00373163">
      <w:pPr>
        <w:pStyle w:val="ListParagraph"/>
        <w:numPr>
          <w:ilvl w:val="0"/>
          <w:numId w:val="7"/>
        </w:numPr>
        <w:jc w:val="center"/>
        <w:rPr>
          <w:rFonts w:ascii="Times" w:hAnsi="Times" w:cs="Times New Roman"/>
          <w:smallCaps/>
        </w:rPr>
      </w:pPr>
      <w:r>
        <w:rPr>
          <w:rFonts w:ascii="Times" w:hAnsi="Times" w:cs="Times New Roman"/>
          <w:smallCaps/>
        </w:rPr>
        <w:t>Data, Measures, and Methods</w:t>
      </w:r>
    </w:p>
    <w:p w14:paraId="4D3DEBC8" w14:textId="77777777" w:rsidR="00CB34D1" w:rsidRPr="00373163" w:rsidRDefault="00CB34D1" w:rsidP="00373163">
      <w:pPr>
        <w:ind w:right="720"/>
        <w:jc w:val="both"/>
        <w:rPr>
          <w:rFonts w:ascii="Times" w:hAnsi="Times" w:cs="Times New Roman"/>
          <w:i/>
        </w:rPr>
      </w:pPr>
    </w:p>
    <w:p w14:paraId="5B8B30BF" w14:textId="77777777" w:rsidR="002A6579" w:rsidRPr="00526E36" w:rsidRDefault="008067C6" w:rsidP="00373163">
      <w:pPr>
        <w:jc w:val="both"/>
        <w:rPr>
          <w:rFonts w:ascii="Times" w:hAnsi="Times" w:cs="Times New Roman"/>
          <w:b/>
        </w:rPr>
      </w:pPr>
      <w:r w:rsidRPr="00373163">
        <w:rPr>
          <w:rFonts w:ascii="Times" w:hAnsi="Times" w:cs="Times New Roman"/>
        </w:rPr>
        <w:tab/>
      </w:r>
      <w:r w:rsidR="00A67AF6">
        <w:rPr>
          <w:rFonts w:ascii="Times" w:hAnsi="Times" w:cs="Times New Roman"/>
        </w:rPr>
        <w:t>To</w:t>
      </w:r>
      <w:r w:rsidRPr="00373163">
        <w:rPr>
          <w:rFonts w:ascii="Times" w:hAnsi="Times" w:cs="Times New Roman"/>
        </w:rPr>
        <w:t xml:space="preserve"> evaluate the </w:t>
      </w:r>
      <w:r w:rsidR="00AF01BC" w:rsidRPr="00373163">
        <w:rPr>
          <w:rFonts w:ascii="Times" w:hAnsi="Times" w:cs="Times New Roman"/>
        </w:rPr>
        <w:t xml:space="preserve">effects of </w:t>
      </w:r>
      <w:r w:rsidRPr="00373163">
        <w:rPr>
          <w:rFonts w:ascii="Times" w:hAnsi="Times" w:cs="Times New Roman"/>
        </w:rPr>
        <w:t xml:space="preserve">information provided </w:t>
      </w:r>
      <w:r w:rsidR="002D1E6B">
        <w:rPr>
          <w:rFonts w:ascii="Times" w:hAnsi="Times" w:cs="Times New Roman"/>
        </w:rPr>
        <w:t>to the Roberts Court</w:t>
      </w:r>
      <w:r w:rsidR="00BE1907" w:rsidRPr="00373163">
        <w:rPr>
          <w:rFonts w:ascii="Times" w:hAnsi="Times" w:cs="Times New Roman"/>
        </w:rPr>
        <w:t>,</w:t>
      </w:r>
      <w:r w:rsidR="00AF01BC" w:rsidRPr="00373163">
        <w:rPr>
          <w:rFonts w:ascii="Times" w:hAnsi="Times" w:cs="Times New Roman"/>
        </w:rPr>
        <w:t xml:space="preserve"> we have</w:t>
      </w:r>
      <w:r w:rsidRPr="00373163">
        <w:rPr>
          <w:rFonts w:ascii="Times" w:hAnsi="Times" w:cs="Times New Roman"/>
        </w:rPr>
        <w:t xml:space="preserve"> amass</w:t>
      </w:r>
      <w:r w:rsidR="00AF01BC" w:rsidRPr="00373163">
        <w:rPr>
          <w:rFonts w:ascii="Times" w:hAnsi="Times" w:cs="Times New Roman"/>
        </w:rPr>
        <w:t>ed</w:t>
      </w:r>
      <w:r w:rsidRPr="00373163">
        <w:rPr>
          <w:rFonts w:ascii="Times" w:hAnsi="Times" w:cs="Times New Roman"/>
        </w:rPr>
        <w:t xml:space="preserve"> all </w:t>
      </w:r>
      <w:r w:rsidR="002D1E6B">
        <w:rPr>
          <w:rFonts w:ascii="Times" w:hAnsi="Times" w:cs="Times New Roman"/>
        </w:rPr>
        <w:t>briefs</w:t>
      </w:r>
      <w:r w:rsidR="00AF01BC" w:rsidRPr="00373163">
        <w:rPr>
          <w:rFonts w:ascii="Times" w:hAnsi="Times" w:cs="Times New Roman"/>
        </w:rPr>
        <w:t xml:space="preserve"> available</w:t>
      </w:r>
      <w:r w:rsidRPr="00373163">
        <w:rPr>
          <w:rFonts w:ascii="Times" w:hAnsi="Times" w:cs="Times New Roman"/>
        </w:rPr>
        <w:t xml:space="preserve"> </w:t>
      </w:r>
      <w:r w:rsidR="00BE1907" w:rsidRPr="00373163">
        <w:rPr>
          <w:rFonts w:ascii="Times" w:hAnsi="Times" w:cs="Times New Roman"/>
        </w:rPr>
        <w:t xml:space="preserve">from Westlaw </w:t>
      </w:r>
      <w:r w:rsidRPr="00373163">
        <w:rPr>
          <w:rFonts w:ascii="Times" w:hAnsi="Times" w:cs="Times New Roman"/>
        </w:rPr>
        <w:t>f</w:t>
      </w:r>
      <w:r w:rsidR="00BE1907" w:rsidRPr="00373163">
        <w:rPr>
          <w:rFonts w:ascii="Times" w:hAnsi="Times" w:cs="Times New Roman"/>
        </w:rPr>
        <w:t>or orally argued cases from</w:t>
      </w:r>
      <w:r w:rsidRPr="00373163">
        <w:rPr>
          <w:rFonts w:ascii="Times" w:hAnsi="Times" w:cs="Times New Roman"/>
        </w:rPr>
        <w:t xml:space="preserve"> 2005</w:t>
      </w:r>
      <w:r w:rsidR="00BE1907" w:rsidRPr="00373163">
        <w:rPr>
          <w:rFonts w:ascii="Times" w:hAnsi="Times" w:cs="Times New Roman"/>
        </w:rPr>
        <w:t xml:space="preserve"> to 2015</w:t>
      </w:r>
      <w:r w:rsidRPr="00373163">
        <w:rPr>
          <w:rFonts w:ascii="Times" w:hAnsi="Times" w:cs="Times New Roman"/>
        </w:rPr>
        <w:t xml:space="preserve">. </w:t>
      </w:r>
      <w:r w:rsidR="00BE1907" w:rsidRPr="00373163">
        <w:rPr>
          <w:rFonts w:ascii="Times" w:hAnsi="Times" w:cs="Times New Roman"/>
        </w:rPr>
        <w:t xml:space="preserve"> </w:t>
      </w:r>
      <w:r w:rsidR="00526E36">
        <w:rPr>
          <w:rFonts w:ascii="Times" w:hAnsi="Times" w:cs="Times New Roman"/>
        </w:rPr>
        <w:t>Because</w:t>
      </w:r>
      <w:r w:rsidR="00526E36" w:rsidRPr="00373163">
        <w:rPr>
          <w:rFonts w:ascii="Times" w:hAnsi="Times" w:cs="Times New Roman"/>
        </w:rPr>
        <w:t xml:space="preserve"> </w:t>
      </w:r>
      <w:r w:rsidRPr="00373163">
        <w:rPr>
          <w:rFonts w:ascii="Times" w:hAnsi="Times" w:cs="Times New Roman"/>
        </w:rPr>
        <w:t xml:space="preserve">our focus is </w:t>
      </w:r>
      <w:r w:rsidR="00526E36">
        <w:rPr>
          <w:rFonts w:ascii="Times" w:hAnsi="Times" w:cs="Times New Roman"/>
        </w:rPr>
        <w:t xml:space="preserve">on </w:t>
      </w:r>
      <w:r w:rsidR="00BE1907" w:rsidRPr="00373163">
        <w:rPr>
          <w:rFonts w:ascii="Times" w:hAnsi="Times" w:cs="Times New Roman"/>
        </w:rPr>
        <w:t>the merits stage,</w:t>
      </w:r>
      <w:r w:rsidRPr="00373163">
        <w:rPr>
          <w:rFonts w:ascii="Times" w:hAnsi="Times" w:cs="Times New Roman"/>
        </w:rPr>
        <w:t xml:space="preserve"> we exclude all briefs regarding whether a petition for certiorari should be </w:t>
      </w:r>
      <w:r w:rsidR="002D1E6B">
        <w:rPr>
          <w:rFonts w:ascii="Times" w:hAnsi="Times" w:cs="Times New Roman"/>
        </w:rPr>
        <w:t xml:space="preserve">granted as well </w:t>
      </w:r>
      <w:r w:rsidR="002D1E6B">
        <w:rPr>
          <w:rFonts w:ascii="Times" w:hAnsi="Times" w:cs="Times New Roman"/>
        </w:rPr>
        <w:lastRenderedPageBreak/>
        <w:t>as any briefs regarding</w:t>
      </w:r>
      <w:r w:rsidRPr="00373163">
        <w:rPr>
          <w:rFonts w:ascii="Times" w:hAnsi="Times" w:cs="Times New Roman"/>
        </w:rPr>
        <w:t xml:space="preserve"> </w:t>
      </w:r>
      <w:r w:rsidR="002D1E6B">
        <w:rPr>
          <w:rFonts w:ascii="Times" w:hAnsi="Times" w:cs="Times New Roman"/>
        </w:rPr>
        <w:t>non-</w:t>
      </w:r>
      <w:r w:rsidR="00DF6321">
        <w:rPr>
          <w:rFonts w:ascii="Times" w:hAnsi="Times" w:cs="Times New Roman"/>
        </w:rPr>
        <w:t>dispositive</w:t>
      </w:r>
      <w:r w:rsidR="002D1E6B">
        <w:rPr>
          <w:rFonts w:ascii="Times" w:hAnsi="Times" w:cs="Times New Roman"/>
        </w:rPr>
        <w:t xml:space="preserve"> matters</w:t>
      </w:r>
      <w:r w:rsidRPr="00373163">
        <w:rPr>
          <w:rFonts w:ascii="Times" w:hAnsi="Times" w:cs="Times New Roman"/>
        </w:rPr>
        <w:t xml:space="preserve">. We have also excluded the small number of supplemental briefs filed by the parties. The end result </w:t>
      </w:r>
      <w:r w:rsidR="00BE1907" w:rsidRPr="00373163">
        <w:rPr>
          <w:rFonts w:ascii="Times" w:hAnsi="Times" w:cs="Times New Roman"/>
        </w:rPr>
        <w:t>is a dataset composed of 9,912</w:t>
      </w:r>
      <w:r w:rsidRPr="00373163">
        <w:rPr>
          <w:rFonts w:ascii="Times" w:hAnsi="Times" w:cs="Times New Roman"/>
        </w:rPr>
        <w:t xml:space="preserve"> briefs.</w:t>
      </w:r>
      <w:r w:rsidR="003E29FF">
        <w:rPr>
          <w:rStyle w:val="FootnoteReference"/>
          <w:rFonts w:ascii="Times" w:hAnsi="Times" w:cs="Times New Roman"/>
        </w:rPr>
        <w:footnoteReference w:id="23"/>
      </w:r>
      <w:r w:rsidR="00526E36">
        <w:rPr>
          <w:rFonts w:ascii="Times" w:hAnsi="Times" w:cs="Times New Roman"/>
        </w:rPr>
        <w:t xml:space="preserve"> </w:t>
      </w:r>
    </w:p>
    <w:p w14:paraId="05D9E81B" w14:textId="77777777" w:rsidR="00942663" w:rsidRPr="00373163" w:rsidRDefault="00DF6321" w:rsidP="00373163">
      <w:pPr>
        <w:ind w:firstLine="720"/>
        <w:jc w:val="both"/>
        <w:rPr>
          <w:rFonts w:ascii="Times" w:hAnsi="Times" w:cs="Times New Roman"/>
        </w:rPr>
      </w:pPr>
      <w:r>
        <w:rPr>
          <w:rFonts w:ascii="Times" w:hAnsi="Times" w:cs="Times New Roman"/>
        </w:rPr>
        <w:t>We</w:t>
      </w:r>
      <w:r w:rsidR="00942663" w:rsidRPr="00373163">
        <w:rPr>
          <w:rFonts w:ascii="Times" w:hAnsi="Times" w:cs="Times New Roman"/>
        </w:rPr>
        <w:t xml:space="preserve"> explore the cumulative effect of all the briefs filed by both litigan</w:t>
      </w:r>
      <w:r>
        <w:rPr>
          <w:rFonts w:ascii="Times" w:hAnsi="Times" w:cs="Times New Roman"/>
        </w:rPr>
        <w:t>ts and amici on each side of a</w:t>
      </w:r>
      <w:r w:rsidR="00942663" w:rsidRPr="00373163">
        <w:rPr>
          <w:rFonts w:ascii="Times" w:hAnsi="Times" w:cs="Times New Roman"/>
        </w:rPr>
        <w:t xml:space="preserve"> case.  The unit of analysis is the case-vote; and the o</w:t>
      </w:r>
      <w:r w:rsidR="00D93234" w:rsidRPr="00373163">
        <w:rPr>
          <w:rFonts w:ascii="Times" w:hAnsi="Times" w:cs="Times New Roman"/>
        </w:rPr>
        <w:t>utcome variable</w:t>
      </w:r>
      <w:r w:rsidR="00942663" w:rsidRPr="00373163">
        <w:rPr>
          <w:rFonts w:ascii="Times" w:hAnsi="Times" w:cs="Times New Roman"/>
        </w:rPr>
        <w:t xml:space="preserve"> equals one if a justice vot</w:t>
      </w:r>
      <w:r w:rsidR="0068444D" w:rsidRPr="00373163">
        <w:rPr>
          <w:rFonts w:ascii="Times" w:hAnsi="Times" w:cs="Times New Roman"/>
        </w:rPr>
        <w:t>ed in favor of the petitioner</w:t>
      </w:r>
      <w:r w:rsidR="00942663" w:rsidRPr="00373163">
        <w:rPr>
          <w:rFonts w:ascii="Times" w:hAnsi="Times" w:cs="Times New Roman"/>
        </w:rPr>
        <w:t xml:space="preserve"> (and zero otherwise).  </w:t>
      </w:r>
      <w:r w:rsidR="00D93234" w:rsidRPr="00373163">
        <w:rPr>
          <w:rFonts w:ascii="Times" w:hAnsi="Times" w:cs="Times New Roman"/>
        </w:rPr>
        <w:t xml:space="preserve">Information on whether </w:t>
      </w:r>
      <w:r w:rsidR="00942663" w:rsidRPr="00373163">
        <w:rPr>
          <w:rFonts w:ascii="Times" w:hAnsi="Times" w:cs="Times New Roman"/>
        </w:rPr>
        <w:t>each justice voted</w:t>
      </w:r>
      <w:r w:rsidR="00D93234" w:rsidRPr="00373163">
        <w:rPr>
          <w:rFonts w:ascii="Times" w:hAnsi="Times" w:cs="Times New Roman"/>
        </w:rPr>
        <w:t xml:space="preserve"> in favor of the petitioner was obtained from the Supreme Court Database</w:t>
      </w:r>
      <w:r w:rsidR="00526E36">
        <w:rPr>
          <w:rFonts w:ascii="Times" w:hAnsi="Times" w:cs="Times New Roman"/>
        </w:rPr>
        <w:t>.</w:t>
      </w:r>
      <w:r w:rsidR="00373163">
        <w:rPr>
          <w:rStyle w:val="FootnoteReference"/>
          <w:rFonts w:ascii="Times" w:hAnsi="Times" w:cs="Times New Roman"/>
        </w:rPr>
        <w:footnoteReference w:id="24"/>
      </w:r>
      <w:r w:rsidR="00942663" w:rsidRPr="00373163">
        <w:rPr>
          <w:rFonts w:ascii="Times" w:hAnsi="Times" w:cs="Times New Roman"/>
        </w:rPr>
        <w:t xml:space="preserve"> </w:t>
      </w:r>
      <w:r w:rsidR="00D93234" w:rsidRPr="00373163">
        <w:rPr>
          <w:rFonts w:ascii="Times" w:hAnsi="Times" w:cs="Times New Roman"/>
        </w:rPr>
        <w:t xml:space="preserve"> </w:t>
      </w:r>
      <w:r w:rsidR="00370B18" w:rsidRPr="00373163">
        <w:rPr>
          <w:rFonts w:ascii="Times" w:hAnsi="Times" w:cs="Times New Roman"/>
        </w:rPr>
        <w:t xml:space="preserve">In order to contrast our findings with those from the literature we estimate two models.  The first model includes all of our relative informational variables in order to test </w:t>
      </w:r>
      <w:r w:rsidR="00526E36">
        <w:rPr>
          <w:rFonts w:ascii="Times" w:hAnsi="Times" w:cs="Times New Roman"/>
        </w:rPr>
        <w:t>the three</w:t>
      </w:r>
      <w:r w:rsidR="00526E36" w:rsidRPr="00373163">
        <w:rPr>
          <w:rFonts w:ascii="Times" w:hAnsi="Times" w:cs="Times New Roman"/>
        </w:rPr>
        <w:t xml:space="preserve"> </w:t>
      </w:r>
      <w:r w:rsidR="00370B18" w:rsidRPr="00373163">
        <w:rPr>
          <w:rFonts w:ascii="Times" w:hAnsi="Times" w:cs="Times New Roman"/>
        </w:rPr>
        <w:t xml:space="preserve">hypotheses.  For comparison, we estimate a second model that excludes all relative </w:t>
      </w:r>
      <w:r w:rsidR="00A158FA">
        <w:rPr>
          <w:rFonts w:ascii="Times" w:hAnsi="Times" w:cs="Times New Roman"/>
        </w:rPr>
        <w:t xml:space="preserve">information </w:t>
      </w:r>
      <w:r w:rsidR="00370B18" w:rsidRPr="00373163">
        <w:rPr>
          <w:rFonts w:ascii="Times" w:hAnsi="Times" w:cs="Times New Roman"/>
        </w:rPr>
        <w:t xml:space="preserve">variables except for the difference in the number of briefs on each side.  Since the outcome variable is dichotomous, we estimate </w:t>
      </w:r>
      <w:proofErr w:type="spellStart"/>
      <w:r w:rsidR="00370B18" w:rsidRPr="00373163">
        <w:rPr>
          <w:rFonts w:ascii="Times" w:hAnsi="Times" w:cs="Times New Roman"/>
        </w:rPr>
        <w:t>probit</w:t>
      </w:r>
      <w:proofErr w:type="spellEnd"/>
      <w:r w:rsidR="00370B18" w:rsidRPr="00373163">
        <w:rPr>
          <w:rFonts w:ascii="Times" w:hAnsi="Times" w:cs="Times New Roman"/>
        </w:rPr>
        <w:t xml:space="preserve"> models.  Both models also include fixed effects for term and justice (although they are not shown). </w:t>
      </w:r>
    </w:p>
    <w:p w14:paraId="13AA09AF" w14:textId="77777777" w:rsidR="00942663" w:rsidRPr="00373163" w:rsidRDefault="00D23154" w:rsidP="00373163">
      <w:pPr>
        <w:ind w:firstLine="720"/>
        <w:jc w:val="both"/>
        <w:rPr>
          <w:rFonts w:ascii="Times" w:hAnsi="Times" w:cs="Times New Roman"/>
        </w:rPr>
      </w:pPr>
      <w:r w:rsidRPr="00373163">
        <w:rPr>
          <w:rFonts w:ascii="Times" w:hAnsi="Times" w:cs="Times New Roman"/>
        </w:rPr>
        <w:t xml:space="preserve">Our primary explanatory variables </w:t>
      </w:r>
      <w:r w:rsidR="00942663" w:rsidRPr="00373163">
        <w:rPr>
          <w:rFonts w:ascii="Times" w:hAnsi="Times" w:cs="Times New Roman"/>
        </w:rPr>
        <w:t>are a series of measures of the relativ</w:t>
      </w:r>
      <w:r w:rsidR="00234588">
        <w:rPr>
          <w:rFonts w:ascii="Times" w:hAnsi="Times" w:cs="Times New Roman"/>
        </w:rPr>
        <w:t>e content presented to the Court</w:t>
      </w:r>
      <w:r w:rsidR="00942663" w:rsidRPr="00373163">
        <w:rPr>
          <w:rFonts w:ascii="Times" w:hAnsi="Times" w:cs="Times New Roman"/>
        </w:rPr>
        <w:t xml:space="preserve">.  For each of these measures, the difference is calculated by subtracting the relevant quantity for briefs filed on the respondent’s side from the relevant quantity for the briefs filed on the petitioner’s side.  For example, the variable </w:t>
      </w:r>
      <w:r w:rsidR="00942663" w:rsidRPr="00373163">
        <w:rPr>
          <w:rFonts w:ascii="Times" w:hAnsi="Times" w:cs="Times New Roman"/>
          <w:i/>
        </w:rPr>
        <w:t>Difference in # of Briefs</w:t>
      </w:r>
      <w:r w:rsidR="00234588">
        <w:rPr>
          <w:rFonts w:ascii="Times" w:hAnsi="Times" w:cs="Times New Roman"/>
        </w:rPr>
        <w:t xml:space="preserve"> is </w:t>
      </w:r>
      <w:proofErr w:type="gramStart"/>
      <w:r w:rsidR="00234588">
        <w:rPr>
          <w:rFonts w:ascii="Times" w:hAnsi="Times" w:cs="Times New Roman"/>
        </w:rPr>
        <w:t xml:space="preserve">the </w:t>
      </w:r>
      <w:r w:rsidR="00942663" w:rsidRPr="00373163">
        <w:rPr>
          <w:rFonts w:ascii="Times" w:hAnsi="Times" w:cs="Times New Roman"/>
        </w:rPr>
        <w:t xml:space="preserve"> number</w:t>
      </w:r>
      <w:proofErr w:type="gramEnd"/>
      <w:r w:rsidR="00942663" w:rsidRPr="00373163">
        <w:rPr>
          <w:rFonts w:ascii="Times" w:hAnsi="Times" w:cs="Times New Roman"/>
        </w:rPr>
        <w:t xml:space="preserve"> of briefs filed </w:t>
      </w:r>
      <w:r w:rsidR="00234588">
        <w:rPr>
          <w:rFonts w:ascii="Times" w:hAnsi="Times" w:cs="Times New Roman"/>
        </w:rPr>
        <w:t xml:space="preserve">urging reversal minus the </w:t>
      </w:r>
      <w:r w:rsidR="00942663" w:rsidRPr="00373163">
        <w:rPr>
          <w:rFonts w:ascii="Times" w:hAnsi="Times" w:cs="Times New Roman"/>
        </w:rPr>
        <w:t xml:space="preserve">number of briefs filed urging affirmance.  Each side includes </w:t>
      </w:r>
      <w:r w:rsidR="009C6EBF" w:rsidRPr="00373163">
        <w:rPr>
          <w:rFonts w:ascii="Times" w:hAnsi="Times" w:cs="Times New Roman"/>
        </w:rPr>
        <w:t xml:space="preserve">all relevant </w:t>
      </w:r>
      <w:r w:rsidR="00942663" w:rsidRPr="00373163">
        <w:rPr>
          <w:rFonts w:ascii="Times" w:hAnsi="Times" w:cs="Times New Roman"/>
        </w:rPr>
        <w:t>brief</w:t>
      </w:r>
      <w:r w:rsidR="001D36AF" w:rsidRPr="00373163">
        <w:rPr>
          <w:rFonts w:ascii="Times" w:hAnsi="Times" w:cs="Times New Roman"/>
        </w:rPr>
        <w:t>s</w:t>
      </w:r>
      <w:r w:rsidR="00942663" w:rsidRPr="00373163">
        <w:rPr>
          <w:rFonts w:ascii="Times" w:hAnsi="Times" w:cs="Times New Roman"/>
        </w:rPr>
        <w:t xml:space="preserve"> filed by </w:t>
      </w:r>
      <w:r w:rsidR="009C6EBF" w:rsidRPr="00373163">
        <w:rPr>
          <w:rFonts w:ascii="Times" w:hAnsi="Times" w:cs="Times New Roman"/>
        </w:rPr>
        <w:t>both parties and amici</w:t>
      </w:r>
      <w:r w:rsidR="005B453B" w:rsidRPr="00373163">
        <w:rPr>
          <w:rFonts w:ascii="Times" w:hAnsi="Times" w:cs="Times New Roman"/>
        </w:rPr>
        <w:t xml:space="preserve">.  </w:t>
      </w:r>
      <w:r w:rsidR="0013151F" w:rsidRPr="00373163">
        <w:rPr>
          <w:rFonts w:ascii="Times" w:hAnsi="Times" w:cs="Times New Roman"/>
        </w:rPr>
        <w:t>Since the outcome variable is whether a justice voted for the petitioner, positive coefficients on our difference measures indicate that more is better, the pattern anticipated by all of our hypotheses.</w:t>
      </w:r>
    </w:p>
    <w:p w14:paraId="7D42490D" w14:textId="77777777" w:rsidR="00D26116" w:rsidRPr="00373163" w:rsidRDefault="00D26116" w:rsidP="00373163">
      <w:pPr>
        <w:ind w:firstLine="720"/>
        <w:jc w:val="both"/>
        <w:rPr>
          <w:rFonts w:ascii="Times" w:hAnsi="Times" w:cs="Times New Roman"/>
        </w:rPr>
      </w:pPr>
      <w:r w:rsidRPr="00373163">
        <w:rPr>
          <w:rFonts w:ascii="Times" w:hAnsi="Times" w:cs="Times New Roman"/>
        </w:rPr>
        <w:t xml:space="preserve">We go beyond simply counting the number of briefs on each side to measure both </w:t>
      </w:r>
      <w:r w:rsidR="00234588">
        <w:rPr>
          <w:rFonts w:ascii="Times" w:hAnsi="Times" w:cs="Times New Roman"/>
        </w:rPr>
        <w:t>relative</w:t>
      </w:r>
      <w:r w:rsidR="006D32AD" w:rsidRPr="00373163">
        <w:rPr>
          <w:rFonts w:ascii="Times" w:hAnsi="Times" w:cs="Times New Roman"/>
        </w:rPr>
        <w:t xml:space="preserve"> </w:t>
      </w:r>
      <w:r w:rsidRPr="00373163">
        <w:rPr>
          <w:rFonts w:ascii="Times" w:hAnsi="Times" w:cs="Times New Roman"/>
        </w:rPr>
        <w:t xml:space="preserve">aggregate information and the </w:t>
      </w:r>
      <w:r w:rsidR="00234588">
        <w:rPr>
          <w:rFonts w:ascii="Times" w:hAnsi="Times" w:cs="Times New Roman"/>
        </w:rPr>
        <w:t xml:space="preserve">relative </w:t>
      </w:r>
      <w:r w:rsidRPr="00373163">
        <w:rPr>
          <w:rFonts w:ascii="Times" w:hAnsi="Times" w:cs="Times New Roman"/>
        </w:rPr>
        <w:t>breadth of the information presented</w:t>
      </w:r>
      <w:r w:rsidR="00234588">
        <w:rPr>
          <w:rFonts w:ascii="Times" w:hAnsi="Times" w:cs="Times New Roman"/>
        </w:rPr>
        <w:t xml:space="preserve"> on each side</w:t>
      </w:r>
      <w:r w:rsidRPr="00373163">
        <w:rPr>
          <w:rFonts w:ascii="Times" w:hAnsi="Times" w:cs="Times New Roman"/>
        </w:rPr>
        <w:t xml:space="preserve">.  For our </w:t>
      </w:r>
      <w:r w:rsidR="006D32AD" w:rsidRPr="00373163">
        <w:rPr>
          <w:rFonts w:ascii="Times" w:hAnsi="Times" w:cs="Times New Roman"/>
        </w:rPr>
        <w:t>first measure of total</w:t>
      </w:r>
      <w:r w:rsidRPr="00373163">
        <w:rPr>
          <w:rFonts w:ascii="Times" w:hAnsi="Times" w:cs="Times New Roman"/>
        </w:rPr>
        <w:t xml:space="preserve"> information w</w:t>
      </w:r>
      <w:r w:rsidR="006A092E" w:rsidRPr="00373163">
        <w:rPr>
          <w:rFonts w:ascii="Times" w:hAnsi="Times" w:cs="Times New Roman"/>
        </w:rPr>
        <w:t>e begin</w:t>
      </w:r>
      <w:r w:rsidR="00D71A9A" w:rsidRPr="00373163">
        <w:rPr>
          <w:rFonts w:ascii="Times" w:hAnsi="Times" w:cs="Times New Roman"/>
        </w:rPr>
        <w:t xml:space="preserve"> with the standard approach of </w:t>
      </w:r>
      <w:r w:rsidR="006A092E" w:rsidRPr="00373163">
        <w:rPr>
          <w:rFonts w:ascii="Times" w:hAnsi="Times" w:cs="Times New Roman"/>
        </w:rPr>
        <w:t>u</w:t>
      </w:r>
      <w:r w:rsidR="00D71A9A" w:rsidRPr="00373163">
        <w:rPr>
          <w:rFonts w:ascii="Times" w:hAnsi="Times" w:cs="Times New Roman"/>
        </w:rPr>
        <w:t>s</w:t>
      </w:r>
      <w:r w:rsidR="006A092E" w:rsidRPr="00373163">
        <w:rPr>
          <w:rFonts w:ascii="Times" w:hAnsi="Times" w:cs="Times New Roman"/>
        </w:rPr>
        <w:t>ing a</w:t>
      </w:r>
      <w:r w:rsidR="00C30D6A" w:rsidRPr="00373163">
        <w:rPr>
          <w:rFonts w:ascii="Times" w:hAnsi="Times" w:cs="Times New Roman"/>
        </w:rPr>
        <w:t xml:space="preserve"> simple word count as a rough approximation</w:t>
      </w:r>
      <w:r w:rsidR="009E3C9F" w:rsidRPr="00373163">
        <w:rPr>
          <w:rFonts w:ascii="Times" w:hAnsi="Times" w:cs="Times New Roman"/>
        </w:rPr>
        <w:t>.</w:t>
      </w:r>
      <w:r w:rsidR="00D7178B" w:rsidRPr="00373163">
        <w:rPr>
          <w:rStyle w:val="FootnoteReference"/>
          <w:rFonts w:ascii="Times" w:hAnsi="Times" w:cs="Times New Roman"/>
        </w:rPr>
        <w:footnoteReference w:id="25"/>
      </w:r>
      <w:r w:rsidR="00A67AF6">
        <w:rPr>
          <w:rFonts w:ascii="Times" w:hAnsi="Times" w:cs="Times New Roman"/>
        </w:rPr>
        <w:t xml:space="preserve">  However, </w:t>
      </w:r>
      <w:r w:rsidR="00D71A9A" w:rsidRPr="00373163">
        <w:rPr>
          <w:rFonts w:ascii="Times" w:hAnsi="Times" w:cs="Times New Roman"/>
        </w:rPr>
        <w:t>the impa</w:t>
      </w:r>
      <w:r w:rsidR="000E0148" w:rsidRPr="00373163">
        <w:rPr>
          <w:rFonts w:ascii="Times" w:hAnsi="Times" w:cs="Times New Roman"/>
        </w:rPr>
        <w:t xml:space="preserve">ct of additional information will tend to decrease </w:t>
      </w:r>
      <w:r w:rsidRPr="00373163">
        <w:rPr>
          <w:rFonts w:ascii="Times" w:hAnsi="Times" w:cs="Times New Roman"/>
        </w:rPr>
        <w:t>as the total word count grows.  The difference between</w:t>
      </w:r>
      <w:r w:rsidR="000E0148" w:rsidRPr="00373163">
        <w:rPr>
          <w:rFonts w:ascii="Times" w:hAnsi="Times" w:cs="Times New Roman"/>
        </w:rPr>
        <w:t xml:space="preserve"> 2,000 </w:t>
      </w:r>
      <w:r w:rsidRPr="00373163">
        <w:rPr>
          <w:rFonts w:ascii="Times" w:hAnsi="Times" w:cs="Times New Roman"/>
        </w:rPr>
        <w:t>and 1,000 words</w:t>
      </w:r>
      <w:r w:rsidR="000E0148" w:rsidRPr="00373163">
        <w:rPr>
          <w:rFonts w:ascii="Times" w:hAnsi="Times" w:cs="Times New Roman"/>
        </w:rPr>
        <w:t xml:space="preserve"> should be much more substanti</w:t>
      </w:r>
      <w:r w:rsidRPr="00373163">
        <w:rPr>
          <w:rFonts w:ascii="Times" w:hAnsi="Times" w:cs="Times New Roman"/>
        </w:rPr>
        <w:t>al than the difference between</w:t>
      </w:r>
      <w:r w:rsidR="000E0148" w:rsidRPr="00373163">
        <w:rPr>
          <w:rFonts w:ascii="Times" w:hAnsi="Times" w:cs="Times New Roman"/>
        </w:rPr>
        <w:t xml:space="preserve"> 12,000 words and 11,000 words.  </w:t>
      </w:r>
      <w:r w:rsidR="000E0148" w:rsidRPr="00373163">
        <w:rPr>
          <w:rFonts w:ascii="Times" w:hAnsi="Times" w:cs="Times New Roman"/>
        </w:rPr>
        <w:lastRenderedPageBreak/>
        <w:t>Consequently, we take the standard precaution of using the natura</w:t>
      </w:r>
      <w:r w:rsidR="006D32AD" w:rsidRPr="00373163">
        <w:rPr>
          <w:rFonts w:ascii="Times" w:hAnsi="Times" w:cs="Times New Roman"/>
        </w:rPr>
        <w:t xml:space="preserve">l log of the word count of the </w:t>
      </w:r>
      <w:r w:rsidR="000E0148" w:rsidRPr="00373163">
        <w:rPr>
          <w:rFonts w:ascii="Times" w:hAnsi="Times" w:cs="Times New Roman"/>
        </w:rPr>
        <w:t>brief</w:t>
      </w:r>
      <w:r w:rsidR="006D32AD" w:rsidRPr="00373163">
        <w:rPr>
          <w:rFonts w:ascii="Times" w:hAnsi="Times" w:cs="Times New Roman"/>
        </w:rPr>
        <w:t>s on each side before calculating the difference</w:t>
      </w:r>
      <w:r w:rsidR="000E0148" w:rsidRPr="00373163">
        <w:rPr>
          <w:rFonts w:ascii="Times" w:hAnsi="Times" w:cs="Times New Roman"/>
        </w:rPr>
        <w:t>.</w:t>
      </w:r>
      <w:r w:rsidR="009E3C9F" w:rsidRPr="00373163">
        <w:rPr>
          <w:rFonts w:ascii="Times" w:hAnsi="Times" w:cs="Times New Roman"/>
        </w:rPr>
        <w:t xml:space="preserve"> </w:t>
      </w:r>
      <w:r w:rsidR="00D71A9A" w:rsidRPr="00373163">
        <w:rPr>
          <w:rFonts w:ascii="Times" w:hAnsi="Times" w:cs="Times New Roman"/>
        </w:rPr>
        <w:t xml:space="preserve"> </w:t>
      </w:r>
      <w:r w:rsidRPr="00373163">
        <w:rPr>
          <w:rFonts w:ascii="Times" w:hAnsi="Times" w:cs="Times New Roman"/>
        </w:rPr>
        <w:t xml:space="preserve"> </w:t>
      </w:r>
    </w:p>
    <w:p w14:paraId="72F966B0" w14:textId="77777777" w:rsidR="00356C05" w:rsidRPr="00373163" w:rsidRDefault="00D26116" w:rsidP="00373163">
      <w:pPr>
        <w:ind w:firstLine="720"/>
        <w:jc w:val="both"/>
        <w:rPr>
          <w:rFonts w:ascii="Times" w:hAnsi="Times" w:cs="Times New Roman"/>
        </w:rPr>
      </w:pPr>
      <w:r w:rsidRPr="00373163">
        <w:rPr>
          <w:rFonts w:ascii="Times" w:hAnsi="Times" w:cs="Times New Roman"/>
        </w:rPr>
        <w:t>Our</w:t>
      </w:r>
      <w:r w:rsidR="00234588">
        <w:rPr>
          <w:rFonts w:ascii="Times" w:hAnsi="Times" w:cs="Times New Roman"/>
        </w:rPr>
        <w:t xml:space="preserve"> second measure of the total</w:t>
      </w:r>
      <w:r w:rsidRPr="00373163">
        <w:rPr>
          <w:rFonts w:ascii="Times" w:hAnsi="Times" w:cs="Times New Roman"/>
        </w:rPr>
        <w:t xml:space="preserve"> amount of in</w:t>
      </w:r>
      <w:r w:rsidR="00234588">
        <w:rPr>
          <w:rFonts w:ascii="Times" w:hAnsi="Times" w:cs="Times New Roman"/>
        </w:rPr>
        <w:t xml:space="preserve">formation on each </w:t>
      </w:r>
      <w:proofErr w:type="gramStart"/>
      <w:r w:rsidR="00234588">
        <w:rPr>
          <w:rFonts w:ascii="Times" w:hAnsi="Times" w:cs="Times New Roman"/>
        </w:rPr>
        <w:t xml:space="preserve">side </w:t>
      </w:r>
      <w:r w:rsidRPr="00373163">
        <w:rPr>
          <w:rFonts w:ascii="Times" w:hAnsi="Times" w:cs="Times New Roman"/>
        </w:rPr>
        <w:t xml:space="preserve"> is</w:t>
      </w:r>
      <w:proofErr w:type="gramEnd"/>
      <w:r w:rsidRPr="00373163">
        <w:rPr>
          <w:rFonts w:ascii="Times" w:hAnsi="Times" w:cs="Times New Roman"/>
        </w:rPr>
        <w:t xml:space="preserve"> the total number of citations</w:t>
      </w:r>
      <w:r w:rsidR="006D32AD" w:rsidRPr="00373163">
        <w:rPr>
          <w:rFonts w:ascii="Times" w:hAnsi="Times" w:cs="Times New Roman"/>
        </w:rPr>
        <w:t xml:space="preserve"> (in hundreds)</w:t>
      </w:r>
      <w:r w:rsidRPr="00373163">
        <w:rPr>
          <w:rFonts w:ascii="Times" w:hAnsi="Times" w:cs="Times New Roman"/>
        </w:rPr>
        <w:t xml:space="preserve"> to Supreme Court precedent.</w:t>
      </w:r>
      <w:r w:rsidR="00E35F0C" w:rsidRPr="00373163">
        <w:rPr>
          <w:rFonts w:ascii="Times" w:hAnsi="Times" w:cs="Times New Roman"/>
        </w:rPr>
        <w:t xml:space="preserve"> </w:t>
      </w:r>
      <w:r w:rsidR="00234588">
        <w:rPr>
          <w:rFonts w:ascii="Times" w:hAnsi="Times" w:cs="Times New Roman"/>
        </w:rPr>
        <w:t xml:space="preserve"> </w:t>
      </w:r>
      <w:r w:rsidR="00E35F0C" w:rsidRPr="00373163">
        <w:rPr>
          <w:rFonts w:ascii="Times" w:hAnsi="Times" w:cs="Times New Roman"/>
        </w:rPr>
        <w:t>L</w:t>
      </w:r>
      <w:r w:rsidR="00E24B75" w:rsidRPr="00373163">
        <w:rPr>
          <w:rFonts w:ascii="Times" w:hAnsi="Times" w:cs="Times New Roman"/>
        </w:rPr>
        <w:t>egal citations a</w:t>
      </w:r>
      <w:r w:rsidR="00234588">
        <w:rPr>
          <w:rFonts w:ascii="Times" w:hAnsi="Times" w:cs="Times New Roman"/>
        </w:rPr>
        <w:t>re an important source of a</w:t>
      </w:r>
      <w:r w:rsidR="00E24B75" w:rsidRPr="00373163">
        <w:rPr>
          <w:rFonts w:ascii="Times" w:hAnsi="Times" w:cs="Times New Roman"/>
        </w:rPr>
        <w:t xml:space="preserve"> particular type of information</w:t>
      </w:r>
      <w:r w:rsidR="00D7178B" w:rsidRPr="00373163">
        <w:rPr>
          <w:rFonts w:ascii="Times" w:hAnsi="Times" w:cs="Times New Roman"/>
        </w:rPr>
        <w:t>.</w:t>
      </w:r>
      <w:r w:rsidR="00D7178B" w:rsidRPr="00373163">
        <w:rPr>
          <w:rStyle w:val="FootnoteReference"/>
          <w:rFonts w:ascii="Times" w:hAnsi="Times" w:cs="Times New Roman"/>
        </w:rPr>
        <w:footnoteReference w:id="26"/>
      </w:r>
      <w:r w:rsidR="00E24B75" w:rsidRPr="00373163">
        <w:rPr>
          <w:rFonts w:ascii="Times" w:hAnsi="Times" w:cs="Times New Roman"/>
        </w:rPr>
        <w:t xml:space="preserve"> Attorneys naturally incorporate reference to case law in their legal arguments to the Supreme Court</w:t>
      </w:r>
      <w:r w:rsidR="009E3C9F" w:rsidRPr="00373163">
        <w:rPr>
          <w:rFonts w:ascii="Times" w:hAnsi="Times" w:cs="Times New Roman"/>
        </w:rPr>
        <w:t xml:space="preserve">. </w:t>
      </w:r>
      <w:r w:rsidR="00E35F0C" w:rsidRPr="00373163">
        <w:rPr>
          <w:rFonts w:ascii="Times" w:hAnsi="Times" w:cs="Times New Roman"/>
        </w:rPr>
        <w:t xml:space="preserve"> </w:t>
      </w:r>
      <w:r w:rsidR="00472DD6" w:rsidRPr="00373163">
        <w:rPr>
          <w:rFonts w:ascii="Times" w:hAnsi="Times" w:cs="Times New Roman"/>
        </w:rPr>
        <w:t>C</w:t>
      </w:r>
      <w:r w:rsidR="00E24B75" w:rsidRPr="00373163">
        <w:rPr>
          <w:rFonts w:ascii="Times" w:hAnsi="Times" w:cs="Times New Roman"/>
        </w:rPr>
        <w:t xml:space="preserve">itations to precedents written by the Supreme Court itself are the most theoretically relevant sources </w:t>
      </w:r>
      <w:r w:rsidR="00E7646D">
        <w:rPr>
          <w:rFonts w:ascii="Times" w:hAnsi="Times" w:cs="Times New Roman"/>
        </w:rPr>
        <w:t>because</w:t>
      </w:r>
      <w:r w:rsidR="00E7646D" w:rsidRPr="00373163">
        <w:rPr>
          <w:rFonts w:ascii="Times" w:hAnsi="Times" w:cs="Times New Roman"/>
        </w:rPr>
        <w:t xml:space="preserve"> </w:t>
      </w:r>
      <w:r w:rsidR="00E24B75" w:rsidRPr="00373163">
        <w:rPr>
          <w:rFonts w:ascii="Times" w:hAnsi="Times" w:cs="Times New Roman"/>
        </w:rPr>
        <w:t>they</w:t>
      </w:r>
      <w:r w:rsidR="004D083B">
        <w:rPr>
          <w:rFonts w:ascii="Times" w:hAnsi="Times" w:cs="Times New Roman"/>
        </w:rPr>
        <w:t xml:space="preserve"> </w:t>
      </w:r>
      <w:r w:rsidR="00E24B75" w:rsidRPr="00373163">
        <w:rPr>
          <w:rFonts w:ascii="Times" w:hAnsi="Times" w:cs="Times New Roman"/>
        </w:rPr>
        <w:t>are most likely to influence the Court</w:t>
      </w:r>
      <w:r w:rsidR="009E3C9F" w:rsidRPr="00373163">
        <w:rPr>
          <w:rFonts w:ascii="Times" w:hAnsi="Times" w:cs="Times New Roman"/>
        </w:rPr>
        <w:t xml:space="preserve">. </w:t>
      </w:r>
      <w:r w:rsidR="00234588">
        <w:rPr>
          <w:rFonts w:ascii="Times" w:hAnsi="Times" w:cs="Times New Roman"/>
        </w:rPr>
        <w:t>References to such</w:t>
      </w:r>
      <w:r w:rsidR="00E24B75" w:rsidRPr="00373163">
        <w:rPr>
          <w:rFonts w:ascii="Times" w:hAnsi="Times" w:cs="Times New Roman"/>
        </w:rPr>
        <w:t xml:space="preserve"> cases take on a finite number</w:t>
      </w:r>
      <w:r w:rsidR="00937101" w:rsidRPr="00373163">
        <w:rPr>
          <w:rFonts w:ascii="Times" w:hAnsi="Times" w:cs="Times New Roman"/>
        </w:rPr>
        <w:t xml:space="preserve"> </w:t>
      </w:r>
      <w:r w:rsidR="00E24B75" w:rsidRPr="00373163">
        <w:rPr>
          <w:rFonts w:ascii="Times" w:hAnsi="Times" w:cs="Times New Roman"/>
        </w:rPr>
        <w:t>of forms and, therefore, can be reliably extracted from text.</w:t>
      </w:r>
      <w:r w:rsidR="004A62C0" w:rsidRPr="00373163">
        <w:rPr>
          <w:rStyle w:val="FootnoteReference"/>
          <w:rFonts w:ascii="Times" w:hAnsi="Times" w:cs="Times New Roman"/>
        </w:rPr>
        <w:footnoteReference w:id="27"/>
      </w:r>
    </w:p>
    <w:p w14:paraId="64E56E96" w14:textId="77777777" w:rsidR="00077F08" w:rsidRPr="00373163" w:rsidRDefault="00234588" w:rsidP="00373163">
      <w:pPr>
        <w:ind w:firstLine="720"/>
        <w:jc w:val="both"/>
        <w:rPr>
          <w:rFonts w:ascii="Times" w:hAnsi="Times" w:cs="Times New Roman"/>
        </w:rPr>
      </w:pPr>
      <w:r>
        <w:rPr>
          <w:rFonts w:ascii="Times" w:hAnsi="Times" w:cs="Times New Roman"/>
        </w:rPr>
        <w:t>We</w:t>
      </w:r>
      <w:r w:rsidR="008E640C" w:rsidRPr="00373163">
        <w:rPr>
          <w:rFonts w:ascii="Times" w:hAnsi="Times" w:cs="Times New Roman"/>
        </w:rPr>
        <w:t xml:space="preserve"> also use words and citations to calculate the </w:t>
      </w:r>
      <w:r w:rsidR="00DB5713">
        <w:rPr>
          <w:rFonts w:ascii="Times" w:hAnsi="Times" w:cs="Times New Roman"/>
        </w:rPr>
        <w:t xml:space="preserve">relative </w:t>
      </w:r>
      <w:r w:rsidR="008E640C" w:rsidRPr="00373163">
        <w:rPr>
          <w:rFonts w:ascii="Times" w:hAnsi="Times" w:cs="Times New Roman"/>
        </w:rPr>
        <w:t>breadth of infor</w:t>
      </w:r>
      <w:r w:rsidR="00DB5713">
        <w:rPr>
          <w:rFonts w:ascii="Times" w:hAnsi="Times" w:cs="Times New Roman"/>
        </w:rPr>
        <w:t>mation presented by briefs</w:t>
      </w:r>
      <w:r w:rsidR="008E640C" w:rsidRPr="00373163">
        <w:rPr>
          <w:rFonts w:ascii="Times" w:hAnsi="Times" w:cs="Times New Roman"/>
        </w:rPr>
        <w:t>.  To do so we count the number of different individual words and cases cited in the set of briefs on each side.</w:t>
      </w:r>
      <w:r w:rsidR="001E6697" w:rsidRPr="001E6697">
        <w:rPr>
          <w:rStyle w:val="FootnoteReference"/>
          <w:rFonts w:ascii="Times" w:hAnsi="Times" w:cs="Times New Roman"/>
        </w:rPr>
        <w:t xml:space="preserve"> </w:t>
      </w:r>
      <w:r w:rsidR="001E6697">
        <w:rPr>
          <w:rStyle w:val="FootnoteReference"/>
          <w:rFonts w:ascii="Times" w:hAnsi="Times" w:cs="Times New Roman"/>
        </w:rPr>
        <w:footnoteReference w:id="28"/>
      </w:r>
      <w:r w:rsidR="008E640C" w:rsidRPr="00373163">
        <w:rPr>
          <w:rFonts w:ascii="Times" w:hAnsi="Times" w:cs="Times New Roman"/>
        </w:rPr>
        <w:t xml:space="preserve">  Each new legal issue that is raised will bring additional words and precedents into the discussion. </w:t>
      </w:r>
      <w:r w:rsidR="00DB5713">
        <w:rPr>
          <w:rFonts w:ascii="Times" w:hAnsi="Times" w:cs="Times New Roman"/>
        </w:rPr>
        <w:t xml:space="preserve"> Consequently, holding the aggregate</w:t>
      </w:r>
      <w:r w:rsidR="008E640C" w:rsidRPr="00373163">
        <w:rPr>
          <w:rFonts w:ascii="Times" w:hAnsi="Times" w:cs="Times New Roman"/>
        </w:rPr>
        <w:t xml:space="preserve"> amount of</w:t>
      </w:r>
      <w:r w:rsidR="00DB5713">
        <w:rPr>
          <w:rFonts w:ascii="Times" w:hAnsi="Times" w:cs="Times New Roman"/>
        </w:rPr>
        <w:t xml:space="preserve"> information constant, briefs that incorporate</w:t>
      </w:r>
      <w:r w:rsidR="008E640C" w:rsidRPr="00373163">
        <w:rPr>
          <w:rFonts w:ascii="Times" w:hAnsi="Times" w:cs="Times New Roman"/>
        </w:rPr>
        <w:t xml:space="preserve"> a wider </w:t>
      </w:r>
      <w:r w:rsidR="00DB5713">
        <w:rPr>
          <w:rFonts w:ascii="Times" w:hAnsi="Times" w:cs="Times New Roman"/>
        </w:rPr>
        <w:t>vocabulary</w:t>
      </w:r>
      <w:r w:rsidR="008E640C" w:rsidRPr="00373163">
        <w:rPr>
          <w:rFonts w:ascii="Times" w:hAnsi="Times" w:cs="Times New Roman"/>
        </w:rPr>
        <w:t xml:space="preserve"> or dis</w:t>
      </w:r>
      <w:r w:rsidR="00DB5713">
        <w:rPr>
          <w:rFonts w:ascii="Times" w:hAnsi="Times" w:cs="Times New Roman"/>
        </w:rPr>
        <w:t>cuss more precedents are</w:t>
      </w:r>
      <w:r w:rsidR="008E640C" w:rsidRPr="00373163">
        <w:rPr>
          <w:rFonts w:ascii="Times" w:hAnsi="Times" w:cs="Times New Roman"/>
        </w:rPr>
        <w:t xml:space="preserve"> likely to be addressing a broader set of issues.</w:t>
      </w:r>
      <w:r w:rsidR="006D32AD" w:rsidRPr="00373163">
        <w:rPr>
          <w:rFonts w:ascii="Times" w:hAnsi="Times" w:cs="Times New Roman"/>
        </w:rPr>
        <w:t xml:space="preserve"> </w:t>
      </w:r>
      <w:r w:rsidR="00DB5713">
        <w:rPr>
          <w:rFonts w:ascii="Times" w:hAnsi="Times" w:cs="Times New Roman"/>
        </w:rPr>
        <w:t>Conversely, a decrease in these measures indicates a higher degree of repetition.</w:t>
      </w:r>
    </w:p>
    <w:p w14:paraId="50D06C0C" w14:textId="77777777" w:rsidR="00EB5C0A" w:rsidRDefault="00180DAF" w:rsidP="00373163">
      <w:pPr>
        <w:ind w:firstLine="720"/>
        <w:jc w:val="both"/>
        <w:rPr>
          <w:rFonts w:ascii="Times" w:hAnsi="Times" w:cs="Times New Roman"/>
        </w:rPr>
      </w:pPr>
      <w:r w:rsidRPr="00373163">
        <w:rPr>
          <w:rFonts w:ascii="Times" w:hAnsi="Times" w:cs="Times New Roman"/>
        </w:rPr>
        <w:t xml:space="preserve">Finally, we </w:t>
      </w:r>
      <w:r w:rsidR="009C3EDB">
        <w:rPr>
          <w:rFonts w:ascii="Times" w:hAnsi="Times" w:cs="Times New Roman"/>
        </w:rPr>
        <w:t>incorporate</w:t>
      </w:r>
      <w:r w:rsidR="00436951" w:rsidRPr="00373163">
        <w:rPr>
          <w:rFonts w:ascii="Times" w:hAnsi="Times" w:cs="Times New Roman"/>
        </w:rPr>
        <w:t xml:space="preserve"> </w:t>
      </w:r>
      <w:r w:rsidR="009C3EDB">
        <w:rPr>
          <w:rFonts w:ascii="Times" w:hAnsi="Times" w:cs="Times New Roman"/>
        </w:rPr>
        <w:t xml:space="preserve">other </w:t>
      </w:r>
      <w:r w:rsidR="00436951" w:rsidRPr="00373163">
        <w:rPr>
          <w:rFonts w:ascii="Times" w:hAnsi="Times" w:cs="Times New Roman"/>
        </w:rPr>
        <w:t>variables</w:t>
      </w:r>
      <w:r w:rsidR="009C3EDB">
        <w:rPr>
          <w:rFonts w:ascii="Times" w:hAnsi="Times" w:cs="Times New Roman"/>
        </w:rPr>
        <w:t xml:space="preserve"> that may affect the justices’ votes</w:t>
      </w:r>
      <w:r w:rsidR="00436951" w:rsidRPr="00373163">
        <w:rPr>
          <w:rFonts w:ascii="Times" w:hAnsi="Times" w:cs="Times New Roman"/>
        </w:rPr>
        <w:t xml:space="preserve">.  </w:t>
      </w:r>
      <w:r w:rsidR="009C3EDB">
        <w:rPr>
          <w:rFonts w:ascii="Times" w:hAnsi="Times" w:cs="Times New Roman"/>
        </w:rPr>
        <w:t xml:space="preserve">Because many commentators have noticed the success the </w:t>
      </w:r>
      <w:r w:rsidR="00436951" w:rsidRPr="00373163">
        <w:rPr>
          <w:rFonts w:ascii="Times" w:hAnsi="Times" w:cs="Times New Roman"/>
        </w:rPr>
        <w:t xml:space="preserve">of the </w:t>
      </w:r>
      <w:r w:rsidR="009C3EDB">
        <w:rPr>
          <w:rFonts w:ascii="Times" w:hAnsi="Times" w:cs="Times New Roman"/>
        </w:rPr>
        <w:t xml:space="preserve">Office of the </w:t>
      </w:r>
      <w:r w:rsidR="00436951" w:rsidRPr="00373163">
        <w:rPr>
          <w:rFonts w:ascii="Times" w:hAnsi="Times" w:cs="Times New Roman"/>
        </w:rPr>
        <w:t>Solicitor General</w:t>
      </w:r>
      <w:r w:rsidR="004246B4">
        <w:rPr>
          <w:rFonts w:ascii="Times" w:hAnsi="Times" w:cs="Times New Roman"/>
        </w:rPr>
        <w:t xml:space="preserve"> in Supreme Court litigation</w:t>
      </w:r>
      <w:r w:rsidR="009C3EDB">
        <w:rPr>
          <w:rFonts w:ascii="Times" w:hAnsi="Times" w:cs="Times New Roman"/>
        </w:rPr>
        <w:t xml:space="preserve">, </w:t>
      </w:r>
      <w:r w:rsidR="00436951" w:rsidRPr="00373163">
        <w:rPr>
          <w:rFonts w:ascii="Times" w:hAnsi="Times" w:cs="Times New Roman"/>
        </w:rPr>
        <w:t xml:space="preserve">we control for whether the Solicitor General filed a brief on behalf of the petitioner or respondent.  Next, we account for the ideology of the Supreme Court justices.  </w:t>
      </w:r>
      <w:r w:rsidR="00AE52F1" w:rsidRPr="00373163">
        <w:rPr>
          <w:rFonts w:ascii="Times" w:hAnsi="Times" w:cs="Times New Roman"/>
        </w:rPr>
        <w:t xml:space="preserve">In order to quantify the ideological alignment between </w:t>
      </w:r>
      <w:r w:rsidR="00436951" w:rsidRPr="00373163">
        <w:rPr>
          <w:rFonts w:ascii="Times" w:hAnsi="Times" w:cs="Times New Roman"/>
        </w:rPr>
        <w:t>a justice and the petitioner</w:t>
      </w:r>
      <w:r w:rsidR="00AE52F1" w:rsidRPr="00373163">
        <w:rPr>
          <w:rFonts w:ascii="Times" w:hAnsi="Times" w:cs="Times New Roman"/>
        </w:rPr>
        <w:t xml:space="preserve"> we </w:t>
      </w:r>
      <w:r w:rsidR="00DF4C8A">
        <w:rPr>
          <w:rFonts w:ascii="Times" w:hAnsi="Times" w:cs="Times New Roman"/>
        </w:rPr>
        <w:t>use</w:t>
      </w:r>
      <w:r w:rsidR="00DF4C8A" w:rsidRPr="00373163">
        <w:rPr>
          <w:rFonts w:ascii="Times" w:hAnsi="Times" w:cs="Times New Roman"/>
        </w:rPr>
        <w:t xml:space="preserve"> </w:t>
      </w:r>
      <w:r w:rsidR="00AE52F1" w:rsidRPr="00373163">
        <w:rPr>
          <w:rFonts w:ascii="Times" w:hAnsi="Times" w:cs="Times New Roman"/>
        </w:rPr>
        <w:t>a standard measure of Supreme Court ideolog</w:t>
      </w:r>
      <w:r w:rsidR="00373163">
        <w:rPr>
          <w:rFonts w:ascii="Times" w:hAnsi="Times" w:cs="Times New Roman"/>
        </w:rPr>
        <w:t>y, Martin-Quinn scores</w:t>
      </w:r>
      <w:r w:rsidR="00436951" w:rsidRPr="00373163">
        <w:rPr>
          <w:rFonts w:ascii="Times" w:hAnsi="Times" w:cs="Times New Roman"/>
        </w:rPr>
        <w:t>.</w:t>
      </w:r>
      <w:r w:rsidR="00373163">
        <w:rPr>
          <w:rStyle w:val="FootnoteReference"/>
          <w:rFonts w:ascii="Times" w:hAnsi="Times" w:cs="Times New Roman"/>
        </w:rPr>
        <w:footnoteReference w:id="29"/>
      </w:r>
      <w:r w:rsidR="00436951" w:rsidRPr="00373163">
        <w:rPr>
          <w:rFonts w:ascii="Times" w:hAnsi="Times" w:cs="Times New Roman"/>
        </w:rPr>
        <w:t xml:space="preserve">  When the petitioner</w:t>
      </w:r>
      <w:r w:rsidR="00AE52F1" w:rsidRPr="00373163">
        <w:rPr>
          <w:rFonts w:ascii="Times" w:hAnsi="Times" w:cs="Times New Roman"/>
        </w:rPr>
        <w:t xml:space="preserve"> is seeking a conservative outcome, the variable </w:t>
      </w:r>
      <w:r w:rsidR="00AE52F1" w:rsidRPr="00373163">
        <w:rPr>
          <w:rFonts w:ascii="Times" w:hAnsi="Times" w:cs="Times New Roman"/>
          <w:i/>
        </w:rPr>
        <w:t>Ideological Alignment</w:t>
      </w:r>
      <w:r w:rsidR="00F54896" w:rsidRPr="00373163">
        <w:rPr>
          <w:rFonts w:ascii="Times" w:hAnsi="Times" w:cs="Times New Roman"/>
        </w:rPr>
        <w:t xml:space="preserve"> is</w:t>
      </w:r>
      <w:r w:rsidR="00AE52F1" w:rsidRPr="00373163">
        <w:rPr>
          <w:rFonts w:ascii="Times" w:hAnsi="Times" w:cs="Times New Roman"/>
        </w:rPr>
        <w:t xml:space="preserve"> the Martin-Quinn sc</w:t>
      </w:r>
      <w:r w:rsidR="00436951" w:rsidRPr="00373163">
        <w:rPr>
          <w:rFonts w:ascii="Times" w:hAnsi="Times" w:cs="Times New Roman"/>
        </w:rPr>
        <w:t>ore of the</w:t>
      </w:r>
      <w:r w:rsidR="00F54896" w:rsidRPr="00373163">
        <w:rPr>
          <w:rFonts w:ascii="Times" w:hAnsi="Times" w:cs="Times New Roman"/>
        </w:rPr>
        <w:t xml:space="preserve"> justice, becaus</w:t>
      </w:r>
      <w:r w:rsidR="00436951" w:rsidRPr="00373163">
        <w:rPr>
          <w:rFonts w:ascii="Times" w:hAnsi="Times" w:cs="Times New Roman"/>
        </w:rPr>
        <w:t>e</w:t>
      </w:r>
      <w:r w:rsidR="00AE52F1" w:rsidRPr="00373163">
        <w:rPr>
          <w:rFonts w:ascii="Times" w:hAnsi="Times" w:cs="Times New Roman"/>
        </w:rPr>
        <w:t xml:space="preserve"> higher Martin-Quinn scores denote greater conservatism.  </w:t>
      </w:r>
      <w:r w:rsidR="00436951" w:rsidRPr="00373163">
        <w:rPr>
          <w:rFonts w:ascii="Times" w:hAnsi="Times" w:cs="Times New Roman"/>
        </w:rPr>
        <w:t>When the petitioner</w:t>
      </w:r>
      <w:r w:rsidR="00AE52F1" w:rsidRPr="00373163">
        <w:rPr>
          <w:rFonts w:ascii="Times" w:hAnsi="Times" w:cs="Times New Roman"/>
        </w:rPr>
        <w:t xml:space="preserve"> is advocating a liberal outcome, </w:t>
      </w:r>
      <w:r w:rsidR="00AE52F1" w:rsidRPr="00373163">
        <w:rPr>
          <w:rFonts w:ascii="Times" w:hAnsi="Times" w:cs="Times New Roman"/>
          <w:i/>
        </w:rPr>
        <w:t>Ideological Alignment</w:t>
      </w:r>
      <w:r w:rsidR="00AE52F1" w:rsidRPr="00373163">
        <w:rPr>
          <w:rFonts w:ascii="Times" w:hAnsi="Times" w:cs="Times New Roman"/>
        </w:rPr>
        <w:t xml:space="preserve"> is the M</w:t>
      </w:r>
      <w:r w:rsidR="00436951" w:rsidRPr="00373163">
        <w:rPr>
          <w:rFonts w:ascii="Times" w:hAnsi="Times" w:cs="Times New Roman"/>
        </w:rPr>
        <w:t xml:space="preserve">artin-Quinn score of the </w:t>
      </w:r>
      <w:r w:rsidR="00AE52F1" w:rsidRPr="00373163">
        <w:rPr>
          <w:rFonts w:ascii="Times" w:hAnsi="Times" w:cs="Times New Roman"/>
        </w:rPr>
        <w:t>justice mult</w:t>
      </w:r>
      <w:r w:rsidR="00F54896" w:rsidRPr="00373163">
        <w:rPr>
          <w:rFonts w:ascii="Times" w:hAnsi="Times" w:cs="Times New Roman"/>
        </w:rPr>
        <w:t>iplied by -</w:t>
      </w:r>
      <w:r w:rsidR="00AE52F1" w:rsidRPr="00373163">
        <w:rPr>
          <w:rFonts w:ascii="Times" w:hAnsi="Times" w:cs="Times New Roman"/>
        </w:rPr>
        <w:t>1.</w:t>
      </w:r>
      <w:r w:rsidR="00A301E2" w:rsidRPr="00373163">
        <w:rPr>
          <w:rFonts w:ascii="Times" w:hAnsi="Times" w:cs="Times New Roman"/>
        </w:rPr>
        <w:t xml:space="preserve">  </w:t>
      </w:r>
      <w:r w:rsidR="00DF4C8A">
        <w:rPr>
          <w:rFonts w:ascii="Times" w:hAnsi="Times" w:cs="Times New Roman"/>
        </w:rPr>
        <w:t>Finally</w:t>
      </w:r>
      <w:r w:rsidR="00A67AF6">
        <w:rPr>
          <w:rFonts w:ascii="Times" w:hAnsi="Times" w:cs="Times New Roman"/>
        </w:rPr>
        <w:t>,</w:t>
      </w:r>
      <w:r w:rsidR="00A301E2" w:rsidRPr="00373163">
        <w:rPr>
          <w:rFonts w:ascii="Times" w:hAnsi="Times" w:cs="Times New Roman"/>
        </w:rPr>
        <w:t xml:space="preserve"> we control for whether there was unanimity in the lower court proceedings.  The lack of a dissenting opinion below may indicate </w:t>
      </w:r>
      <w:r w:rsidR="00A301E2" w:rsidRPr="00373163">
        <w:rPr>
          <w:rFonts w:ascii="Times" w:hAnsi="Times" w:cs="Times New Roman"/>
        </w:rPr>
        <w:lastRenderedPageBreak/>
        <w:t>somewhat greater legal certainty in the case, which would potentially make it more difficult for petitioner</w:t>
      </w:r>
      <w:r w:rsidR="00DF4C8A">
        <w:rPr>
          <w:rFonts w:ascii="Times" w:hAnsi="Times" w:cs="Times New Roman"/>
        </w:rPr>
        <w:t>s</w:t>
      </w:r>
      <w:r w:rsidR="00A301E2" w:rsidRPr="00373163">
        <w:rPr>
          <w:rFonts w:ascii="Times" w:hAnsi="Times" w:cs="Times New Roman"/>
        </w:rPr>
        <w:t xml:space="preserve"> to obtain votes in their favor.</w:t>
      </w:r>
      <w:r w:rsidR="000D0F14" w:rsidRPr="00373163">
        <w:rPr>
          <w:rFonts w:ascii="Times" w:hAnsi="Times" w:cs="Times New Roman"/>
        </w:rPr>
        <w:t xml:space="preserve">  </w:t>
      </w:r>
      <w:r w:rsidR="00A158FA">
        <w:rPr>
          <w:rFonts w:ascii="Times" w:hAnsi="Times" w:cs="Times New Roman"/>
        </w:rPr>
        <w:t xml:space="preserve">We measure this variable as one if there was no dissent below and zero otherwise. </w:t>
      </w:r>
    </w:p>
    <w:p w14:paraId="66CDF65A" w14:textId="77777777" w:rsidR="00373163" w:rsidRDefault="00373163" w:rsidP="00373163">
      <w:pPr>
        <w:ind w:firstLine="720"/>
        <w:jc w:val="both"/>
        <w:rPr>
          <w:rFonts w:ascii="Times New Roman" w:hAnsi="Times New Roman" w:cs="Times New Roman"/>
        </w:rPr>
      </w:pPr>
      <w:r>
        <w:rPr>
          <w:rFonts w:ascii="Times New Roman" w:hAnsi="Times New Roman" w:cs="Times New Roman"/>
        </w:rPr>
        <w:t>Summary statistics for all of our explanatory variables are available in Table 1:</w:t>
      </w:r>
    </w:p>
    <w:p w14:paraId="0670CD6A" w14:textId="77777777" w:rsidR="00D96959" w:rsidRDefault="00D96959" w:rsidP="00373163">
      <w:pPr>
        <w:ind w:firstLine="720"/>
        <w:jc w:val="both"/>
        <w:rPr>
          <w:rFonts w:ascii="Times New Roman" w:hAnsi="Times New Roman" w:cs="Times New Roman"/>
        </w:rPr>
      </w:pPr>
    </w:p>
    <w:p w14:paraId="30851282" w14:textId="77777777" w:rsidR="00373163" w:rsidRDefault="00373163" w:rsidP="00373163">
      <w:pPr>
        <w:jc w:val="both"/>
        <w:rPr>
          <w:rFonts w:ascii="Times" w:hAnsi="Times" w:cs="Times New Roman"/>
        </w:rPr>
      </w:pPr>
    </w:p>
    <w:p w14:paraId="7C23C523" w14:textId="77777777" w:rsidR="004D083B" w:rsidRDefault="004D083B" w:rsidP="00373163">
      <w:pPr>
        <w:jc w:val="both"/>
        <w:rPr>
          <w:rFonts w:ascii="Times" w:hAnsi="Times" w:cs="Times New Roman"/>
        </w:rPr>
      </w:pPr>
    </w:p>
    <w:tbl>
      <w:tblPr>
        <w:tblStyle w:val="TableGrid"/>
        <w:tblW w:w="7196"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445"/>
        <w:gridCol w:w="1292"/>
        <w:gridCol w:w="1260"/>
        <w:gridCol w:w="1199"/>
      </w:tblGrid>
      <w:tr w:rsidR="00373163" w:rsidRPr="00141B41" w14:paraId="3A2BC504" w14:textId="77777777">
        <w:trPr>
          <w:jc w:val="center"/>
        </w:trPr>
        <w:tc>
          <w:tcPr>
            <w:tcW w:w="3445" w:type="dxa"/>
            <w:tcBorders>
              <w:top w:val="nil"/>
              <w:left w:val="nil"/>
              <w:bottom w:val="single" w:sz="4" w:space="0" w:color="auto"/>
            </w:tcBorders>
          </w:tcPr>
          <w:p w14:paraId="034ECD99" w14:textId="77777777" w:rsidR="00373163" w:rsidRPr="007E0CB4" w:rsidRDefault="007E0CB4" w:rsidP="007E0CB4">
            <w:pPr>
              <w:rPr>
                <w:rFonts w:ascii="Times New Roman" w:hAnsi="Times New Roman" w:cs="Times New Roman"/>
                <w:b/>
              </w:rPr>
            </w:pPr>
            <w:r>
              <w:rPr>
                <w:rFonts w:ascii="Times New Roman" w:hAnsi="Times New Roman" w:cs="Times New Roman"/>
                <w:b/>
              </w:rPr>
              <w:t>Percentile</w:t>
            </w:r>
            <w:r>
              <w:rPr>
                <w:rStyle w:val="FootnoteReference"/>
                <w:rFonts w:ascii="Times New Roman" w:hAnsi="Times New Roman" w:cs="Times New Roman"/>
                <w:b/>
              </w:rPr>
              <w:footnoteReference w:id="30"/>
            </w:r>
          </w:p>
        </w:tc>
        <w:tc>
          <w:tcPr>
            <w:tcW w:w="1292" w:type="dxa"/>
            <w:tcBorders>
              <w:top w:val="nil"/>
              <w:bottom w:val="single" w:sz="4" w:space="0" w:color="auto"/>
            </w:tcBorders>
          </w:tcPr>
          <w:p w14:paraId="0132200E" w14:textId="77777777" w:rsidR="00373163" w:rsidRPr="00141B41" w:rsidRDefault="00373163" w:rsidP="000C4D55">
            <w:pPr>
              <w:jc w:val="center"/>
              <w:rPr>
                <w:rFonts w:ascii="Times New Roman" w:hAnsi="Times New Roman" w:cs="Times New Roman"/>
                <w:b/>
              </w:rPr>
            </w:pPr>
            <w:r w:rsidRPr="00141B41">
              <w:rPr>
                <w:rFonts w:ascii="Times New Roman" w:hAnsi="Times New Roman" w:cs="Times New Roman"/>
                <w:b/>
              </w:rPr>
              <w:t>25th %</w:t>
            </w:r>
          </w:p>
        </w:tc>
        <w:tc>
          <w:tcPr>
            <w:tcW w:w="1260" w:type="dxa"/>
            <w:tcBorders>
              <w:top w:val="nil"/>
              <w:bottom w:val="single" w:sz="4" w:space="0" w:color="auto"/>
            </w:tcBorders>
          </w:tcPr>
          <w:p w14:paraId="7B0478C6" w14:textId="77777777" w:rsidR="00373163" w:rsidRPr="00141B41" w:rsidRDefault="00373163" w:rsidP="000C4D55">
            <w:pPr>
              <w:jc w:val="center"/>
              <w:rPr>
                <w:rFonts w:ascii="Times New Roman" w:hAnsi="Times New Roman" w:cs="Times New Roman"/>
                <w:b/>
              </w:rPr>
            </w:pPr>
            <w:r w:rsidRPr="00141B41">
              <w:rPr>
                <w:rFonts w:ascii="Times New Roman" w:hAnsi="Times New Roman" w:cs="Times New Roman"/>
                <w:b/>
              </w:rPr>
              <w:t>50th %</w:t>
            </w:r>
          </w:p>
        </w:tc>
        <w:tc>
          <w:tcPr>
            <w:tcW w:w="1199" w:type="dxa"/>
            <w:tcBorders>
              <w:top w:val="nil"/>
              <w:bottom w:val="single" w:sz="4" w:space="0" w:color="auto"/>
              <w:right w:val="nil"/>
            </w:tcBorders>
          </w:tcPr>
          <w:p w14:paraId="759A43E6" w14:textId="77777777" w:rsidR="00373163" w:rsidRPr="00141B41" w:rsidRDefault="00373163" w:rsidP="000C4D55">
            <w:pPr>
              <w:jc w:val="center"/>
              <w:rPr>
                <w:rFonts w:ascii="Times New Roman" w:hAnsi="Times New Roman" w:cs="Times New Roman"/>
                <w:b/>
              </w:rPr>
            </w:pPr>
            <w:r w:rsidRPr="00141B41">
              <w:rPr>
                <w:rFonts w:ascii="Times New Roman" w:hAnsi="Times New Roman" w:cs="Times New Roman"/>
                <w:b/>
              </w:rPr>
              <w:t>75th %</w:t>
            </w:r>
          </w:p>
        </w:tc>
      </w:tr>
      <w:tr w:rsidR="00373163" w:rsidRPr="00141B41" w14:paraId="704FB449" w14:textId="77777777">
        <w:trPr>
          <w:jc w:val="center"/>
        </w:trPr>
        <w:tc>
          <w:tcPr>
            <w:tcW w:w="3445" w:type="dxa"/>
            <w:tcBorders>
              <w:top w:val="single" w:sz="4" w:space="0" w:color="auto"/>
              <w:left w:val="nil"/>
              <w:bottom w:val="nil"/>
            </w:tcBorders>
          </w:tcPr>
          <w:p w14:paraId="3C320B09" w14:textId="77777777" w:rsidR="00373163" w:rsidRPr="00141B41" w:rsidRDefault="00373163" w:rsidP="000C4D55">
            <w:pPr>
              <w:rPr>
                <w:rFonts w:ascii="Times New Roman" w:eastAsia="Times New Roman" w:hAnsi="Times New Roman" w:cs="Times New Roman"/>
                <w:color w:val="000000"/>
              </w:rPr>
            </w:pPr>
            <w:r w:rsidRPr="00141B41">
              <w:rPr>
                <w:rFonts w:ascii="Times New Roman" w:hAnsi="Times New Roman" w:cs="Times New Roman"/>
              </w:rPr>
              <w:t>Difference in # of Briefs</w:t>
            </w:r>
          </w:p>
        </w:tc>
        <w:tc>
          <w:tcPr>
            <w:tcW w:w="1292" w:type="dxa"/>
            <w:tcBorders>
              <w:top w:val="single" w:sz="4" w:space="0" w:color="auto"/>
              <w:bottom w:val="nil"/>
            </w:tcBorders>
          </w:tcPr>
          <w:p w14:paraId="66DE3747"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-1</w:t>
            </w:r>
          </w:p>
        </w:tc>
        <w:tc>
          <w:tcPr>
            <w:tcW w:w="1260" w:type="dxa"/>
            <w:tcBorders>
              <w:top w:val="single" w:sz="4" w:space="0" w:color="auto"/>
              <w:bottom w:val="nil"/>
            </w:tcBorders>
          </w:tcPr>
          <w:p w14:paraId="75FB84EB"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1</w:t>
            </w:r>
          </w:p>
        </w:tc>
        <w:tc>
          <w:tcPr>
            <w:tcW w:w="1199" w:type="dxa"/>
            <w:tcBorders>
              <w:top w:val="single" w:sz="4" w:space="0" w:color="auto"/>
              <w:bottom w:val="nil"/>
              <w:right w:val="nil"/>
            </w:tcBorders>
          </w:tcPr>
          <w:p w14:paraId="4D271B50"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3</w:t>
            </w:r>
          </w:p>
        </w:tc>
      </w:tr>
      <w:tr w:rsidR="00373163" w:rsidRPr="00141B41" w14:paraId="123AFE4E" w14:textId="77777777">
        <w:trPr>
          <w:jc w:val="center"/>
        </w:trPr>
        <w:tc>
          <w:tcPr>
            <w:tcW w:w="3445" w:type="dxa"/>
            <w:tcBorders>
              <w:left w:val="nil"/>
            </w:tcBorders>
          </w:tcPr>
          <w:p w14:paraId="3CC447C3" w14:textId="77777777" w:rsidR="00373163" w:rsidRPr="00141B41" w:rsidRDefault="00373163" w:rsidP="000C4D55">
            <w:pPr>
              <w:rPr>
                <w:rFonts w:ascii="Times New Roman" w:hAnsi="Times New Roman" w:cs="Times New Roman"/>
              </w:rPr>
            </w:pPr>
            <w:r w:rsidRPr="00141B41">
              <w:rPr>
                <w:rFonts w:ascii="Times New Roman" w:hAnsi="Times New Roman" w:cs="Times New Roman"/>
              </w:rPr>
              <w:t xml:space="preserve">Difference in </w:t>
            </w:r>
            <w:proofErr w:type="gramStart"/>
            <w:r w:rsidRPr="00141B41">
              <w:rPr>
                <w:rFonts w:ascii="Times New Roman" w:hAnsi="Times New Roman" w:cs="Times New Roman"/>
              </w:rPr>
              <w:t>ln(</w:t>
            </w:r>
            <w:proofErr w:type="gramEnd"/>
            <w:r w:rsidRPr="00141B41">
              <w:rPr>
                <w:rFonts w:ascii="Times New Roman" w:hAnsi="Times New Roman" w:cs="Times New Roman"/>
              </w:rPr>
              <w:t>Word Count)</w:t>
            </w:r>
          </w:p>
        </w:tc>
        <w:tc>
          <w:tcPr>
            <w:tcW w:w="1292" w:type="dxa"/>
          </w:tcPr>
          <w:p w14:paraId="5101C567"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-0.23</w:t>
            </w:r>
          </w:p>
        </w:tc>
        <w:tc>
          <w:tcPr>
            <w:tcW w:w="1260" w:type="dxa"/>
          </w:tcPr>
          <w:p w14:paraId="4BFED7C9"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0.19</w:t>
            </w:r>
          </w:p>
        </w:tc>
        <w:tc>
          <w:tcPr>
            <w:tcW w:w="1199" w:type="dxa"/>
            <w:tcBorders>
              <w:right w:val="nil"/>
            </w:tcBorders>
          </w:tcPr>
          <w:p w14:paraId="0AA90BEB"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0.60</w:t>
            </w:r>
          </w:p>
        </w:tc>
      </w:tr>
      <w:tr w:rsidR="00373163" w:rsidRPr="00141B41" w14:paraId="1DBCDC03" w14:textId="77777777">
        <w:trPr>
          <w:jc w:val="center"/>
        </w:trPr>
        <w:tc>
          <w:tcPr>
            <w:tcW w:w="3445" w:type="dxa"/>
            <w:tcBorders>
              <w:left w:val="nil"/>
            </w:tcBorders>
          </w:tcPr>
          <w:p w14:paraId="7C3AB832" w14:textId="77777777" w:rsidR="00373163" w:rsidRPr="00141B41" w:rsidRDefault="00373163" w:rsidP="000C4D55">
            <w:pPr>
              <w:rPr>
                <w:rFonts w:ascii="Times New Roman" w:hAnsi="Times New Roman" w:cs="Times New Roman"/>
              </w:rPr>
            </w:pPr>
            <w:r w:rsidRPr="00141B41">
              <w:rPr>
                <w:rFonts w:ascii="Times New Roman" w:hAnsi="Times New Roman" w:cs="Times New Roman"/>
              </w:rPr>
              <w:t xml:space="preserve">Difference in Total </w:t>
            </w:r>
            <w:proofErr w:type="spellStart"/>
            <w:r w:rsidRPr="00141B41">
              <w:rPr>
                <w:rFonts w:ascii="Times New Roman" w:hAnsi="Times New Roman" w:cs="Times New Roman"/>
              </w:rPr>
              <w:t>S.Ct</w:t>
            </w:r>
            <w:proofErr w:type="spellEnd"/>
            <w:r w:rsidRPr="00141B41">
              <w:rPr>
                <w:rFonts w:ascii="Times New Roman" w:hAnsi="Times New Roman" w:cs="Times New Roman"/>
              </w:rPr>
              <w:t>. Cites</w:t>
            </w:r>
          </w:p>
        </w:tc>
        <w:tc>
          <w:tcPr>
            <w:tcW w:w="1292" w:type="dxa"/>
          </w:tcPr>
          <w:p w14:paraId="73B94967"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-29</w:t>
            </w:r>
          </w:p>
        </w:tc>
        <w:tc>
          <w:tcPr>
            <w:tcW w:w="1260" w:type="dxa"/>
          </w:tcPr>
          <w:p w14:paraId="2641DC58"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27</w:t>
            </w:r>
          </w:p>
        </w:tc>
        <w:tc>
          <w:tcPr>
            <w:tcW w:w="1199" w:type="dxa"/>
            <w:tcBorders>
              <w:right w:val="nil"/>
            </w:tcBorders>
          </w:tcPr>
          <w:p w14:paraId="47AEF369"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94</w:t>
            </w:r>
          </w:p>
        </w:tc>
      </w:tr>
      <w:tr w:rsidR="00373163" w:rsidRPr="00141B41" w14:paraId="19943485" w14:textId="77777777">
        <w:trPr>
          <w:jc w:val="center"/>
        </w:trPr>
        <w:tc>
          <w:tcPr>
            <w:tcW w:w="3445" w:type="dxa"/>
            <w:tcBorders>
              <w:left w:val="nil"/>
            </w:tcBorders>
          </w:tcPr>
          <w:p w14:paraId="715122E6" w14:textId="77777777" w:rsidR="00373163" w:rsidRPr="00141B41" w:rsidRDefault="00373163" w:rsidP="000C4D55">
            <w:pPr>
              <w:rPr>
                <w:rFonts w:ascii="Times New Roman" w:hAnsi="Times New Roman" w:cs="Times New Roman"/>
              </w:rPr>
            </w:pPr>
            <w:r w:rsidRPr="00141B41">
              <w:rPr>
                <w:rFonts w:ascii="Times New Roman" w:hAnsi="Times New Roman" w:cs="Times New Roman"/>
              </w:rPr>
              <w:t>Difference in # of Unique Words</w:t>
            </w:r>
          </w:p>
        </w:tc>
        <w:tc>
          <w:tcPr>
            <w:tcW w:w="1292" w:type="dxa"/>
          </w:tcPr>
          <w:p w14:paraId="50B4BA27"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-735</w:t>
            </w:r>
          </w:p>
        </w:tc>
        <w:tc>
          <w:tcPr>
            <w:tcW w:w="1260" w:type="dxa"/>
          </w:tcPr>
          <w:p w14:paraId="405659E3"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309</w:t>
            </w:r>
          </w:p>
        </w:tc>
        <w:tc>
          <w:tcPr>
            <w:tcW w:w="1199" w:type="dxa"/>
            <w:tcBorders>
              <w:right w:val="nil"/>
            </w:tcBorders>
          </w:tcPr>
          <w:p w14:paraId="4BC32CA3"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1,153</w:t>
            </w:r>
          </w:p>
        </w:tc>
      </w:tr>
      <w:tr w:rsidR="00373163" w:rsidRPr="00141B41" w14:paraId="30E19D1E" w14:textId="77777777">
        <w:trPr>
          <w:jc w:val="center"/>
        </w:trPr>
        <w:tc>
          <w:tcPr>
            <w:tcW w:w="3445" w:type="dxa"/>
            <w:tcBorders>
              <w:left w:val="nil"/>
            </w:tcBorders>
          </w:tcPr>
          <w:p w14:paraId="65AF9AD8" w14:textId="77777777" w:rsidR="00373163" w:rsidRPr="00141B41" w:rsidRDefault="00373163" w:rsidP="000C4D55">
            <w:pPr>
              <w:rPr>
                <w:rFonts w:ascii="Times New Roman" w:hAnsi="Times New Roman" w:cs="Times New Roman"/>
              </w:rPr>
            </w:pPr>
            <w:r w:rsidRPr="00141B41">
              <w:rPr>
                <w:rFonts w:ascii="Times New Roman" w:hAnsi="Times New Roman" w:cs="Times New Roman"/>
              </w:rPr>
              <w:t xml:space="preserve">Difference in </w:t>
            </w:r>
            <w:proofErr w:type="spellStart"/>
            <w:r w:rsidRPr="00141B41">
              <w:rPr>
                <w:rFonts w:ascii="Times New Roman" w:hAnsi="Times New Roman" w:cs="Times New Roman"/>
              </w:rPr>
              <w:t>S.Ct</w:t>
            </w:r>
            <w:proofErr w:type="spellEnd"/>
            <w:r w:rsidRPr="00141B41">
              <w:rPr>
                <w:rFonts w:ascii="Times New Roman" w:hAnsi="Times New Roman" w:cs="Times New Roman"/>
              </w:rPr>
              <w:t>. Cases Cited</w:t>
            </w:r>
          </w:p>
        </w:tc>
        <w:tc>
          <w:tcPr>
            <w:tcW w:w="1292" w:type="dxa"/>
          </w:tcPr>
          <w:p w14:paraId="1CD44A14"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-16</w:t>
            </w:r>
          </w:p>
        </w:tc>
        <w:tc>
          <w:tcPr>
            <w:tcW w:w="1260" w:type="dxa"/>
          </w:tcPr>
          <w:p w14:paraId="172AB38A"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5</w:t>
            </w:r>
          </w:p>
        </w:tc>
        <w:tc>
          <w:tcPr>
            <w:tcW w:w="1199" w:type="dxa"/>
            <w:tcBorders>
              <w:right w:val="nil"/>
            </w:tcBorders>
          </w:tcPr>
          <w:p w14:paraId="5C36798A"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25</w:t>
            </w:r>
          </w:p>
        </w:tc>
      </w:tr>
      <w:tr w:rsidR="00373163" w:rsidRPr="00141B41" w14:paraId="337FA263" w14:textId="77777777">
        <w:trPr>
          <w:jc w:val="center"/>
        </w:trPr>
        <w:tc>
          <w:tcPr>
            <w:tcW w:w="3445" w:type="dxa"/>
            <w:tcBorders>
              <w:left w:val="nil"/>
            </w:tcBorders>
          </w:tcPr>
          <w:p w14:paraId="5A5556A6" w14:textId="77777777" w:rsidR="00373163" w:rsidRPr="00141B41" w:rsidRDefault="00373163" w:rsidP="000C4D55">
            <w:pPr>
              <w:rPr>
                <w:rFonts w:ascii="Times New Roman" w:hAnsi="Times New Roman" w:cs="Times New Roman"/>
              </w:rPr>
            </w:pPr>
            <w:r w:rsidRPr="00141B41">
              <w:rPr>
                <w:rFonts w:ascii="Times New Roman" w:hAnsi="Times New Roman" w:cs="Times New Roman"/>
              </w:rPr>
              <w:t>Ideological Alignment w/Pet.</w:t>
            </w:r>
          </w:p>
        </w:tc>
        <w:tc>
          <w:tcPr>
            <w:tcW w:w="1292" w:type="dxa"/>
          </w:tcPr>
          <w:p w14:paraId="16E9F47A"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-1.61</w:t>
            </w:r>
          </w:p>
        </w:tc>
        <w:tc>
          <w:tcPr>
            <w:tcW w:w="1260" w:type="dxa"/>
          </w:tcPr>
          <w:p w14:paraId="28549B74"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0.04</w:t>
            </w:r>
          </w:p>
        </w:tc>
        <w:tc>
          <w:tcPr>
            <w:tcW w:w="1199" w:type="dxa"/>
            <w:tcBorders>
              <w:right w:val="nil"/>
            </w:tcBorders>
          </w:tcPr>
          <w:p w14:paraId="50DC6E48"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1.62</w:t>
            </w:r>
          </w:p>
        </w:tc>
      </w:tr>
      <w:tr w:rsidR="00373163" w:rsidRPr="00141B41" w14:paraId="56A40F99" w14:textId="77777777">
        <w:trPr>
          <w:jc w:val="center"/>
        </w:trPr>
        <w:tc>
          <w:tcPr>
            <w:tcW w:w="3445" w:type="dxa"/>
            <w:tcBorders>
              <w:top w:val="single" w:sz="4" w:space="0" w:color="auto"/>
              <w:left w:val="nil"/>
              <w:bottom w:val="single" w:sz="4" w:space="0" w:color="auto"/>
            </w:tcBorders>
          </w:tcPr>
          <w:p w14:paraId="42858ED3" w14:textId="77777777" w:rsidR="00373163" w:rsidRPr="007E0CB4" w:rsidRDefault="007E0CB4" w:rsidP="000C4D55">
            <w:pPr>
              <w:rPr>
                <w:rFonts w:ascii="Times New Roman" w:hAnsi="Times New Roman" w:cs="Times New Roman"/>
                <w:b/>
              </w:rPr>
            </w:pPr>
            <w:r>
              <w:rPr>
                <w:rFonts w:ascii="Times New Roman" w:hAnsi="Times New Roman" w:cs="Times New Roman"/>
                <w:b/>
              </w:rPr>
              <w:t>Percentages</w:t>
            </w:r>
          </w:p>
        </w:tc>
        <w:tc>
          <w:tcPr>
            <w:tcW w:w="1292" w:type="dxa"/>
            <w:tcBorders>
              <w:top w:val="single" w:sz="4" w:space="0" w:color="auto"/>
              <w:bottom w:val="single" w:sz="4" w:space="0" w:color="auto"/>
            </w:tcBorders>
          </w:tcPr>
          <w:p w14:paraId="18C50CD8" w14:textId="77777777" w:rsidR="00373163" w:rsidRPr="00141B41" w:rsidRDefault="007E0CB4" w:rsidP="000C4D55">
            <w:pPr>
              <w:jc w:val="center"/>
              <w:rPr>
                <w:rFonts w:ascii="Times New Roman" w:hAnsi="Times New Roman" w:cs="Times New Roman"/>
                <w:b/>
              </w:rPr>
            </w:pPr>
            <w:r>
              <w:rPr>
                <w:rFonts w:ascii="Times New Roman" w:hAnsi="Times New Roman" w:cs="Times New Roman"/>
                <w:b/>
              </w:rPr>
              <w:t>No</w:t>
            </w:r>
          </w:p>
        </w:tc>
        <w:tc>
          <w:tcPr>
            <w:tcW w:w="1260" w:type="dxa"/>
            <w:tcBorders>
              <w:top w:val="single" w:sz="4" w:space="0" w:color="auto"/>
              <w:bottom w:val="single" w:sz="4" w:space="0" w:color="auto"/>
            </w:tcBorders>
          </w:tcPr>
          <w:p w14:paraId="5A8A8C4A" w14:textId="77777777" w:rsidR="00373163" w:rsidRPr="00141B41" w:rsidRDefault="007E0CB4" w:rsidP="000C4D55">
            <w:pPr>
              <w:jc w:val="center"/>
              <w:rPr>
                <w:rFonts w:ascii="Times New Roman" w:hAnsi="Times New Roman" w:cs="Times New Roman"/>
                <w:b/>
              </w:rPr>
            </w:pPr>
            <w:r>
              <w:rPr>
                <w:rFonts w:ascii="Times New Roman" w:hAnsi="Times New Roman" w:cs="Times New Roman"/>
                <w:b/>
              </w:rPr>
              <w:t>Yes</w:t>
            </w:r>
          </w:p>
        </w:tc>
        <w:tc>
          <w:tcPr>
            <w:tcW w:w="1199" w:type="dxa"/>
            <w:tcBorders>
              <w:top w:val="single" w:sz="4" w:space="0" w:color="auto"/>
              <w:bottom w:val="single" w:sz="4" w:space="0" w:color="auto"/>
              <w:right w:val="nil"/>
            </w:tcBorders>
          </w:tcPr>
          <w:p w14:paraId="1034DA36" w14:textId="77777777" w:rsidR="00373163" w:rsidRPr="00141B41" w:rsidRDefault="00373163" w:rsidP="000C4D55">
            <w:pPr>
              <w:jc w:val="center"/>
              <w:rPr>
                <w:rFonts w:ascii="Times New Roman" w:hAnsi="Times New Roman" w:cs="Times New Roman"/>
              </w:rPr>
            </w:pPr>
          </w:p>
        </w:tc>
      </w:tr>
      <w:tr w:rsidR="00373163" w:rsidRPr="00141B41" w14:paraId="7A05721C" w14:textId="77777777">
        <w:trPr>
          <w:jc w:val="center"/>
        </w:trPr>
        <w:tc>
          <w:tcPr>
            <w:tcW w:w="3445" w:type="dxa"/>
            <w:tcBorders>
              <w:top w:val="single" w:sz="4" w:space="0" w:color="auto"/>
              <w:left w:val="nil"/>
            </w:tcBorders>
          </w:tcPr>
          <w:p w14:paraId="6EF75372" w14:textId="77777777" w:rsidR="00373163" w:rsidRPr="00141B41" w:rsidRDefault="00373163" w:rsidP="000C4D55">
            <w:pPr>
              <w:rPr>
                <w:rFonts w:ascii="Times New Roman" w:hAnsi="Times New Roman" w:cs="Times New Roman"/>
              </w:rPr>
            </w:pPr>
            <w:r w:rsidRPr="00141B41">
              <w:rPr>
                <w:rFonts w:ascii="Times New Roman" w:hAnsi="Times New Roman" w:cs="Times New Roman"/>
              </w:rPr>
              <w:t>Solicitor General: Petitioner</w:t>
            </w:r>
          </w:p>
        </w:tc>
        <w:tc>
          <w:tcPr>
            <w:tcW w:w="1292" w:type="dxa"/>
            <w:tcBorders>
              <w:top w:val="single" w:sz="4" w:space="0" w:color="auto"/>
            </w:tcBorders>
          </w:tcPr>
          <w:p w14:paraId="214927B7"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95.7%</w:t>
            </w:r>
          </w:p>
        </w:tc>
        <w:tc>
          <w:tcPr>
            <w:tcW w:w="1260" w:type="dxa"/>
            <w:tcBorders>
              <w:top w:val="single" w:sz="4" w:space="0" w:color="auto"/>
            </w:tcBorders>
          </w:tcPr>
          <w:p w14:paraId="0E854F28"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4.3%</w:t>
            </w:r>
          </w:p>
        </w:tc>
        <w:tc>
          <w:tcPr>
            <w:tcW w:w="1199" w:type="dxa"/>
            <w:tcBorders>
              <w:top w:val="single" w:sz="4" w:space="0" w:color="auto"/>
              <w:right w:val="nil"/>
            </w:tcBorders>
          </w:tcPr>
          <w:p w14:paraId="2B3A636F" w14:textId="77777777" w:rsidR="00373163" w:rsidRPr="00141B41" w:rsidRDefault="00373163" w:rsidP="000C4D55">
            <w:pPr>
              <w:jc w:val="center"/>
              <w:rPr>
                <w:rFonts w:ascii="Times New Roman" w:hAnsi="Times New Roman" w:cs="Times New Roman"/>
              </w:rPr>
            </w:pPr>
          </w:p>
        </w:tc>
      </w:tr>
      <w:tr w:rsidR="00373163" w:rsidRPr="00141B41" w14:paraId="4FEEC232" w14:textId="77777777">
        <w:trPr>
          <w:jc w:val="center"/>
        </w:trPr>
        <w:tc>
          <w:tcPr>
            <w:tcW w:w="3445" w:type="dxa"/>
            <w:tcBorders>
              <w:left w:val="nil"/>
            </w:tcBorders>
          </w:tcPr>
          <w:p w14:paraId="3DF7A5BE" w14:textId="77777777" w:rsidR="00373163" w:rsidRPr="00141B41" w:rsidRDefault="00373163" w:rsidP="000C4D55">
            <w:pPr>
              <w:rPr>
                <w:rFonts w:ascii="Times New Roman" w:hAnsi="Times New Roman" w:cs="Times New Roman"/>
              </w:rPr>
            </w:pPr>
            <w:r w:rsidRPr="00141B41">
              <w:rPr>
                <w:rFonts w:ascii="Times New Roman" w:hAnsi="Times New Roman" w:cs="Times New Roman"/>
              </w:rPr>
              <w:t>Solicitor General: Respondent</w:t>
            </w:r>
          </w:p>
        </w:tc>
        <w:tc>
          <w:tcPr>
            <w:tcW w:w="1292" w:type="dxa"/>
          </w:tcPr>
          <w:p w14:paraId="609E3061"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95.8%</w:t>
            </w:r>
          </w:p>
        </w:tc>
        <w:tc>
          <w:tcPr>
            <w:tcW w:w="1260" w:type="dxa"/>
          </w:tcPr>
          <w:p w14:paraId="2FB2E895"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4.2%</w:t>
            </w:r>
          </w:p>
        </w:tc>
        <w:tc>
          <w:tcPr>
            <w:tcW w:w="1199" w:type="dxa"/>
            <w:tcBorders>
              <w:right w:val="nil"/>
            </w:tcBorders>
          </w:tcPr>
          <w:p w14:paraId="7D9172D1" w14:textId="77777777" w:rsidR="00373163" w:rsidRPr="00141B41" w:rsidRDefault="00373163" w:rsidP="000C4D55">
            <w:pPr>
              <w:jc w:val="center"/>
              <w:rPr>
                <w:rFonts w:ascii="Times New Roman" w:hAnsi="Times New Roman" w:cs="Times New Roman"/>
              </w:rPr>
            </w:pPr>
          </w:p>
        </w:tc>
      </w:tr>
      <w:tr w:rsidR="00373163" w:rsidRPr="00141B41" w14:paraId="575186FA" w14:textId="77777777">
        <w:trPr>
          <w:jc w:val="center"/>
        </w:trPr>
        <w:tc>
          <w:tcPr>
            <w:tcW w:w="3445" w:type="dxa"/>
            <w:tcBorders>
              <w:left w:val="nil"/>
            </w:tcBorders>
          </w:tcPr>
          <w:p w14:paraId="159CE530" w14:textId="77777777" w:rsidR="00373163" w:rsidRPr="00141B41" w:rsidRDefault="00373163" w:rsidP="000C4D55">
            <w:pPr>
              <w:rPr>
                <w:rFonts w:ascii="Times New Roman" w:hAnsi="Times New Roman" w:cs="Times New Roman"/>
              </w:rPr>
            </w:pPr>
            <w:r w:rsidRPr="00141B41">
              <w:rPr>
                <w:rFonts w:ascii="Times New Roman" w:hAnsi="Times New Roman" w:cs="Times New Roman"/>
              </w:rPr>
              <w:t>Unanimous Below</w:t>
            </w:r>
          </w:p>
        </w:tc>
        <w:tc>
          <w:tcPr>
            <w:tcW w:w="1292" w:type="dxa"/>
          </w:tcPr>
          <w:p w14:paraId="3F1120EE"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57.2%</w:t>
            </w:r>
          </w:p>
        </w:tc>
        <w:tc>
          <w:tcPr>
            <w:tcW w:w="1260" w:type="dxa"/>
          </w:tcPr>
          <w:p w14:paraId="0F2910AC" w14:textId="77777777" w:rsidR="00373163" w:rsidRPr="00141B41" w:rsidRDefault="00373163" w:rsidP="000C4D55">
            <w:pPr>
              <w:jc w:val="center"/>
              <w:rPr>
                <w:rFonts w:ascii="Times New Roman" w:hAnsi="Times New Roman" w:cs="Times New Roman"/>
              </w:rPr>
            </w:pPr>
            <w:r w:rsidRPr="00141B41">
              <w:rPr>
                <w:rFonts w:ascii="Times New Roman" w:hAnsi="Times New Roman" w:cs="Times New Roman"/>
              </w:rPr>
              <w:t>42.8%</w:t>
            </w:r>
          </w:p>
        </w:tc>
        <w:tc>
          <w:tcPr>
            <w:tcW w:w="1199" w:type="dxa"/>
            <w:tcBorders>
              <w:right w:val="nil"/>
            </w:tcBorders>
          </w:tcPr>
          <w:p w14:paraId="35715187" w14:textId="77777777" w:rsidR="00373163" w:rsidRPr="00141B41" w:rsidRDefault="00373163" w:rsidP="000C4D55">
            <w:pPr>
              <w:jc w:val="center"/>
              <w:rPr>
                <w:rFonts w:ascii="Times New Roman" w:hAnsi="Times New Roman" w:cs="Times New Roman"/>
              </w:rPr>
            </w:pPr>
          </w:p>
        </w:tc>
      </w:tr>
    </w:tbl>
    <w:p w14:paraId="6DB403FA" w14:textId="77777777" w:rsidR="00373163" w:rsidRPr="00141B41" w:rsidRDefault="00373163" w:rsidP="00373163">
      <w:pPr>
        <w:rPr>
          <w:rFonts w:ascii="Times New Roman" w:hAnsi="Times New Roman" w:cs="Times New Roman"/>
        </w:rPr>
      </w:pPr>
    </w:p>
    <w:p w14:paraId="2E0981E3" w14:textId="77777777" w:rsidR="00373163" w:rsidRPr="00141B41" w:rsidRDefault="00373163" w:rsidP="00373163">
      <w:pPr>
        <w:jc w:val="center"/>
        <w:rPr>
          <w:rFonts w:ascii="Times New Roman" w:hAnsi="Times New Roman" w:cs="Times New Roman"/>
          <w:b/>
        </w:rPr>
      </w:pPr>
      <w:r>
        <w:rPr>
          <w:rFonts w:ascii="Times New Roman" w:hAnsi="Times New Roman" w:cs="Times New Roman"/>
          <w:b/>
        </w:rPr>
        <w:t>Table 1</w:t>
      </w:r>
      <w:r w:rsidRPr="00141B41">
        <w:rPr>
          <w:rFonts w:ascii="Times New Roman" w:hAnsi="Times New Roman" w:cs="Times New Roman"/>
          <w:b/>
        </w:rPr>
        <w:t>: Summary Statistics</w:t>
      </w:r>
    </w:p>
    <w:p w14:paraId="3DC8A2E1" w14:textId="77777777" w:rsidR="002B5B0A" w:rsidRDefault="002B5B0A" w:rsidP="00C50FC7">
      <w:pPr>
        <w:jc w:val="both"/>
        <w:rPr>
          <w:rFonts w:ascii="Times" w:hAnsi="Times" w:cs="Times New Roman"/>
        </w:rPr>
      </w:pPr>
    </w:p>
    <w:p w14:paraId="551D5B2B" w14:textId="77777777" w:rsidR="00D96959" w:rsidRPr="00373163" w:rsidRDefault="00D96959" w:rsidP="00C50FC7">
      <w:pPr>
        <w:jc w:val="both"/>
        <w:rPr>
          <w:rFonts w:ascii="Times" w:hAnsi="Times" w:cs="Times New Roman"/>
        </w:rPr>
      </w:pPr>
    </w:p>
    <w:p w14:paraId="623F5AC2" w14:textId="77777777" w:rsidR="00373163" w:rsidRPr="00373163" w:rsidRDefault="00373163" w:rsidP="00373163">
      <w:pPr>
        <w:pStyle w:val="ListParagraph"/>
        <w:numPr>
          <w:ilvl w:val="0"/>
          <w:numId w:val="7"/>
        </w:numPr>
        <w:jc w:val="center"/>
        <w:rPr>
          <w:rFonts w:ascii="Times" w:hAnsi="Times" w:cs="Times New Roman"/>
          <w:smallCaps/>
        </w:rPr>
      </w:pPr>
      <w:r>
        <w:rPr>
          <w:rFonts w:ascii="Times" w:hAnsi="Times" w:cs="Times New Roman"/>
          <w:smallCaps/>
        </w:rPr>
        <w:t>Results and Discussion</w:t>
      </w:r>
    </w:p>
    <w:p w14:paraId="3389B206" w14:textId="77777777" w:rsidR="00FD3F67" w:rsidRPr="00373163" w:rsidRDefault="00FD3F67" w:rsidP="00373163">
      <w:pPr>
        <w:jc w:val="both"/>
        <w:rPr>
          <w:rFonts w:ascii="Times" w:hAnsi="Times" w:cs="Times New Roman"/>
          <w:b/>
        </w:rPr>
      </w:pPr>
    </w:p>
    <w:p w14:paraId="447F5916" w14:textId="77777777" w:rsidR="00373163" w:rsidRDefault="00F30089" w:rsidP="00373163">
      <w:pPr>
        <w:jc w:val="both"/>
        <w:rPr>
          <w:rFonts w:ascii="Times" w:hAnsi="Times" w:cs="Times New Roman"/>
        </w:rPr>
      </w:pPr>
      <w:r w:rsidRPr="00373163">
        <w:rPr>
          <w:rFonts w:ascii="Times" w:hAnsi="Times" w:cs="Times New Roman"/>
        </w:rPr>
        <w:tab/>
      </w:r>
      <w:r w:rsidR="00D96959">
        <w:rPr>
          <w:rFonts w:ascii="Times" w:hAnsi="Times" w:cs="Times New Roman"/>
        </w:rPr>
        <w:t>Table 2</w:t>
      </w:r>
      <w:r w:rsidR="002A4DCB">
        <w:rPr>
          <w:rFonts w:ascii="Times" w:hAnsi="Times" w:cs="Times New Roman"/>
        </w:rPr>
        <w:t xml:space="preserve"> presents the results of both models. </w:t>
      </w:r>
      <w:r w:rsidRPr="00373163">
        <w:rPr>
          <w:rFonts w:ascii="Times" w:hAnsi="Times" w:cs="Times New Roman"/>
        </w:rPr>
        <w:t xml:space="preserve">  The petitioner’s a</w:t>
      </w:r>
      <w:r w:rsidR="00774678" w:rsidRPr="00373163">
        <w:rPr>
          <w:rFonts w:ascii="Times" w:hAnsi="Times" w:cs="Times New Roman"/>
        </w:rPr>
        <w:t>dvantage in terms of the number</w:t>
      </w:r>
      <w:r w:rsidRPr="00373163">
        <w:rPr>
          <w:rFonts w:ascii="Times" w:hAnsi="Times" w:cs="Times New Roman"/>
        </w:rPr>
        <w:t xml:space="preserve"> of briefs is statistically significant in both m</w:t>
      </w:r>
      <w:r w:rsidR="00180DAF" w:rsidRPr="00373163">
        <w:rPr>
          <w:rFonts w:ascii="Times" w:hAnsi="Times" w:cs="Times New Roman"/>
        </w:rPr>
        <w:t>odels, but the sign changes direction</w:t>
      </w:r>
      <w:r w:rsidRPr="00373163">
        <w:rPr>
          <w:rFonts w:ascii="Times" w:hAnsi="Times" w:cs="Times New Roman"/>
        </w:rPr>
        <w:t>.  Model 2, which excludes measures of the relative content of the b</w:t>
      </w:r>
      <w:r w:rsidR="00D96959">
        <w:rPr>
          <w:rFonts w:ascii="Times" w:hAnsi="Times" w:cs="Times New Roman"/>
        </w:rPr>
        <w:t>riefing on each side</w:t>
      </w:r>
      <w:r w:rsidRPr="00373163">
        <w:rPr>
          <w:rFonts w:ascii="Times" w:hAnsi="Times" w:cs="Times New Roman"/>
        </w:rPr>
        <w:t xml:space="preserve">, estimates that having a greater number of briefs </w:t>
      </w:r>
      <w:r w:rsidR="00180DAF" w:rsidRPr="00373163">
        <w:rPr>
          <w:rFonts w:ascii="Times" w:hAnsi="Times" w:cs="Times New Roman"/>
        </w:rPr>
        <w:t>h</w:t>
      </w:r>
      <w:r w:rsidRPr="00373163">
        <w:rPr>
          <w:rFonts w:ascii="Times" w:hAnsi="Times" w:cs="Times New Roman"/>
        </w:rPr>
        <w:t>as a positive impact on the probability of obtaining votes.  However, this we</w:t>
      </w:r>
      <w:r w:rsidR="00A67AF6">
        <w:rPr>
          <w:rFonts w:ascii="Times" w:hAnsi="Times" w:cs="Times New Roman"/>
        </w:rPr>
        <w:t>ll-</w:t>
      </w:r>
      <w:r w:rsidR="00774678" w:rsidRPr="00373163">
        <w:rPr>
          <w:rFonts w:ascii="Times" w:hAnsi="Times" w:cs="Times New Roman"/>
        </w:rPr>
        <w:t>known finding flips sign when</w:t>
      </w:r>
      <w:r w:rsidRPr="00373163">
        <w:rPr>
          <w:rFonts w:ascii="Times" w:hAnsi="Times" w:cs="Times New Roman"/>
        </w:rPr>
        <w:t xml:space="preserve"> we account for the contents of the </w:t>
      </w:r>
      <w:r w:rsidR="00180DAF" w:rsidRPr="00373163">
        <w:rPr>
          <w:rFonts w:ascii="Times" w:hAnsi="Times" w:cs="Times New Roman"/>
        </w:rPr>
        <w:t>briefs</w:t>
      </w:r>
      <w:r w:rsidRPr="00373163">
        <w:rPr>
          <w:rFonts w:ascii="Times" w:hAnsi="Times" w:cs="Times New Roman"/>
        </w:rPr>
        <w:t xml:space="preserve">.  While our measures of the breadth of information in the briefing are not statistically significant, a relative advantage in </w:t>
      </w:r>
      <w:r w:rsidR="00180DAF" w:rsidRPr="00373163">
        <w:rPr>
          <w:rFonts w:ascii="Times" w:hAnsi="Times" w:cs="Times New Roman"/>
        </w:rPr>
        <w:t xml:space="preserve">total </w:t>
      </w:r>
      <w:r w:rsidRPr="00373163">
        <w:rPr>
          <w:rFonts w:ascii="Times" w:hAnsi="Times" w:cs="Times New Roman"/>
        </w:rPr>
        <w:t>aggregate information measured in t</w:t>
      </w:r>
      <w:r w:rsidR="00D96959">
        <w:rPr>
          <w:rFonts w:ascii="Times" w:hAnsi="Times" w:cs="Times New Roman"/>
        </w:rPr>
        <w:t>erms of both words and cites</w:t>
      </w:r>
      <w:r w:rsidRPr="00373163">
        <w:rPr>
          <w:rFonts w:ascii="Times" w:hAnsi="Times" w:cs="Times New Roman"/>
        </w:rPr>
        <w:t xml:space="preserve"> is significantly associated with a higher probability of getting a justice’s vote. </w:t>
      </w:r>
      <w:r w:rsidR="00774678" w:rsidRPr="00373163">
        <w:rPr>
          <w:rFonts w:ascii="Times" w:hAnsi="Times" w:cs="Times New Roman"/>
        </w:rPr>
        <w:t xml:space="preserve"> </w:t>
      </w:r>
      <w:r w:rsidR="000D0F14" w:rsidRPr="00373163">
        <w:rPr>
          <w:rFonts w:ascii="Times" w:hAnsi="Times" w:cs="Times New Roman"/>
        </w:rPr>
        <w:t>Moreover, the size of</w:t>
      </w:r>
      <w:r w:rsidR="007B3763" w:rsidRPr="00373163">
        <w:rPr>
          <w:rFonts w:ascii="Times" w:hAnsi="Times" w:cs="Times New Roman"/>
        </w:rPr>
        <w:t xml:space="preserve"> both of</w:t>
      </w:r>
      <w:r w:rsidR="000D0F14" w:rsidRPr="00373163">
        <w:rPr>
          <w:rFonts w:ascii="Times" w:hAnsi="Times" w:cs="Times New Roman"/>
        </w:rPr>
        <w:t xml:space="preserve"> these </w:t>
      </w:r>
      <w:r w:rsidR="007B3763" w:rsidRPr="00373163">
        <w:rPr>
          <w:rFonts w:ascii="Times" w:hAnsi="Times" w:cs="Times New Roman"/>
        </w:rPr>
        <w:t xml:space="preserve">hypothesized </w:t>
      </w:r>
      <w:r w:rsidR="000D0F14" w:rsidRPr="00373163">
        <w:rPr>
          <w:rFonts w:ascii="Times" w:hAnsi="Times" w:cs="Times New Roman"/>
        </w:rPr>
        <w:t>effects is</w:t>
      </w:r>
      <w:r w:rsidR="00774678" w:rsidRPr="00373163">
        <w:rPr>
          <w:rFonts w:ascii="Times" w:hAnsi="Times" w:cs="Times New Roman"/>
        </w:rPr>
        <w:t xml:space="preserve"> </w:t>
      </w:r>
      <w:r w:rsidR="00635E21">
        <w:rPr>
          <w:rFonts w:ascii="Times" w:hAnsi="Times" w:cs="Times New Roman"/>
        </w:rPr>
        <w:t>large</w:t>
      </w:r>
      <w:r w:rsidR="000D0F14" w:rsidRPr="00373163">
        <w:rPr>
          <w:rFonts w:ascii="Times" w:hAnsi="Times" w:cs="Times New Roman"/>
        </w:rPr>
        <w:t>.  Increasin</w:t>
      </w:r>
      <w:r w:rsidR="00AF2CE4">
        <w:rPr>
          <w:rFonts w:ascii="Times" w:hAnsi="Times" w:cs="Times New Roman"/>
        </w:rPr>
        <w:t xml:space="preserve">g the petitioner’s advantage </w:t>
      </w:r>
      <w:r w:rsidR="000D0F14" w:rsidRPr="00373163">
        <w:rPr>
          <w:rFonts w:ascii="Times" w:hAnsi="Times" w:cs="Times New Roman"/>
        </w:rPr>
        <w:t>f</w:t>
      </w:r>
      <w:r w:rsidR="007B3763" w:rsidRPr="00373163">
        <w:rPr>
          <w:rFonts w:ascii="Times" w:hAnsi="Times" w:cs="Times New Roman"/>
        </w:rPr>
        <w:t>rom its 25% value in the data</w:t>
      </w:r>
      <w:r w:rsidR="000D0F14" w:rsidRPr="00373163">
        <w:rPr>
          <w:rFonts w:ascii="Times" w:hAnsi="Times" w:cs="Times New Roman"/>
        </w:rPr>
        <w:t xml:space="preserve"> to its 75% value results in the predicted probability of a favorable vote </w:t>
      </w:r>
      <w:r w:rsidR="000D0F14" w:rsidRPr="00373163">
        <w:rPr>
          <w:rFonts w:ascii="Times" w:hAnsi="Times" w:cs="Times New Roman"/>
        </w:rPr>
        <w:lastRenderedPageBreak/>
        <w:t>increasing by a somewhat modest 0.03</w:t>
      </w:r>
      <w:r w:rsidR="00AF2CE4">
        <w:rPr>
          <w:rFonts w:ascii="Times" w:hAnsi="Times" w:cs="Times New Roman"/>
        </w:rPr>
        <w:t xml:space="preserve"> for total citations, but </w:t>
      </w:r>
      <w:r w:rsidR="008E084E">
        <w:rPr>
          <w:rFonts w:ascii="Times" w:hAnsi="Times" w:cs="Times New Roman"/>
        </w:rPr>
        <w:t>the increase is a more substantial</w:t>
      </w:r>
      <w:r w:rsidR="00AF2CE4">
        <w:rPr>
          <w:rFonts w:ascii="Times" w:hAnsi="Times" w:cs="Times New Roman"/>
        </w:rPr>
        <w:t xml:space="preserve"> 0.10 for word count.</w:t>
      </w:r>
      <w:r w:rsidR="000D0F14" w:rsidRPr="00373163">
        <w:rPr>
          <w:rFonts w:ascii="Times" w:hAnsi="Times" w:cs="Times New Roman"/>
        </w:rPr>
        <w:t xml:space="preserve"> </w:t>
      </w:r>
    </w:p>
    <w:p w14:paraId="648970B7" w14:textId="77777777" w:rsidR="00D96959" w:rsidRDefault="00D96959" w:rsidP="00373163">
      <w:pPr>
        <w:jc w:val="both"/>
        <w:rPr>
          <w:rFonts w:ascii="Times" w:hAnsi="Times" w:cs="Times New Roman"/>
        </w:rPr>
      </w:pPr>
    </w:p>
    <w:p w14:paraId="07B60083" w14:textId="77777777" w:rsidR="00757ACC" w:rsidRDefault="00757ACC" w:rsidP="00373163">
      <w:pPr>
        <w:jc w:val="both"/>
        <w:rPr>
          <w:rFonts w:ascii="Times" w:hAnsi="Times" w:cs="Times New Roman"/>
        </w:rPr>
      </w:pPr>
    </w:p>
    <w:p w14:paraId="6C3E67DF" w14:textId="77777777" w:rsidR="00757ACC" w:rsidRDefault="00757ACC" w:rsidP="00373163">
      <w:pPr>
        <w:jc w:val="both"/>
        <w:rPr>
          <w:rFonts w:ascii="Times" w:hAnsi="Times" w:cs="Times New Roman"/>
        </w:rPr>
      </w:pPr>
    </w:p>
    <w:p w14:paraId="3123BE63" w14:textId="77777777" w:rsidR="00757ACC" w:rsidRDefault="00757ACC" w:rsidP="00373163">
      <w:pPr>
        <w:jc w:val="both"/>
        <w:rPr>
          <w:rFonts w:ascii="Times" w:hAnsi="Times" w:cs="Times New Roman"/>
        </w:rPr>
      </w:pPr>
    </w:p>
    <w:p w14:paraId="434BB6DA" w14:textId="77777777" w:rsidR="00757ACC" w:rsidRDefault="00757ACC" w:rsidP="00373163">
      <w:pPr>
        <w:jc w:val="both"/>
        <w:rPr>
          <w:rFonts w:ascii="Times" w:hAnsi="Times" w:cs="Times New Roman"/>
        </w:rPr>
      </w:pPr>
    </w:p>
    <w:p w14:paraId="4AB2AFB2" w14:textId="77777777" w:rsidR="007A24C4" w:rsidRPr="00373163" w:rsidRDefault="007A24C4" w:rsidP="00373163">
      <w:pPr>
        <w:jc w:val="both"/>
        <w:rPr>
          <w:rFonts w:ascii="Times" w:hAnsi="Times" w:cs="Times New Roman"/>
        </w:rPr>
      </w:pPr>
    </w:p>
    <w:tbl>
      <w:tblPr>
        <w:tblStyle w:val="TableGrid"/>
        <w:tblW w:w="7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0"/>
        <w:gridCol w:w="1034"/>
        <w:gridCol w:w="991"/>
        <w:gridCol w:w="236"/>
        <w:gridCol w:w="1032"/>
        <w:gridCol w:w="987"/>
      </w:tblGrid>
      <w:tr w:rsidR="00005C6E" w:rsidRPr="00373163" w14:paraId="191A8B66" w14:textId="77777777">
        <w:trPr>
          <w:jc w:val="center"/>
        </w:trPr>
        <w:tc>
          <w:tcPr>
            <w:tcW w:w="3170" w:type="dxa"/>
            <w:tcBorders>
              <w:top w:val="single" w:sz="4" w:space="0" w:color="auto"/>
            </w:tcBorders>
          </w:tcPr>
          <w:p w14:paraId="440B2C16" w14:textId="77777777" w:rsidR="00C50FC7" w:rsidRPr="00373163" w:rsidRDefault="00C50FC7" w:rsidP="00373163">
            <w:pPr>
              <w:jc w:val="both"/>
              <w:rPr>
                <w:rFonts w:ascii="Times" w:hAnsi="Times" w:cs="Times New Roman"/>
              </w:rPr>
            </w:pPr>
          </w:p>
        </w:tc>
        <w:tc>
          <w:tcPr>
            <w:tcW w:w="2025" w:type="dxa"/>
            <w:gridSpan w:val="2"/>
            <w:tcBorders>
              <w:top w:val="single" w:sz="4" w:space="0" w:color="auto"/>
            </w:tcBorders>
          </w:tcPr>
          <w:p w14:paraId="7BA71B76" w14:textId="77777777" w:rsidR="00C50FC7" w:rsidRPr="00373163" w:rsidRDefault="00C50FC7" w:rsidP="00C50FC7">
            <w:pPr>
              <w:ind w:left="-221"/>
              <w:jc w:val="center"/>
              <w:rPr>
                <w:rFonts w:ascii="Times" w:hAnsi="Times" w:cs="Times New Roman"/>
                <w:b/>
              </w:rPr>
            </w:pPr>
            <w:r>
              <w:rPr>
                <w:rFonts w:ascii="Times" w:hAnsi="Times" w:cs="Times New Roman"/>
                <w:b/>
              </w:rPr>
              <w:t>Model 1</w:t>
            </w:r>
          </w:p>
        </w:tc>
        <w:tc>
          <w:tcPr>
            <w:tcW w:w="236" w:type="dxa"/>
            <w:tcBorders>
              <w:top w:val="single" w:sz="4" w:space="0" w:color="auto"/>
            </w:tcBorders>
          </w:tcPr>
          <w:p w14:paraId="54D5650B" w14:textId="77777777" w:rsidR="00C50FC7" w:rsidRDefault="00C50FC7" w:rsidP="00373163">
            <w:pPr>
              <w:ind w:left="-347"/>
              <w:jc w:val="center"/>
              <w:rPr>
                <w:rFonts w:ascii="Times" w:hAnsi="Times" w:cs="Times New Roman"/>
                <w:b/>
              </w:rPr>
            </w:pPr>
          </w:p>
        </w:tc>
        <w:tc>
          <w:tcPr>
            <w:tcW w:w="2019" w:type="dxa"/>
            <w:gridSpan w:val="2"/>
            <w:tcBorders>
              <w:top w:val="single" w:sz="4" w:space="0" w:color="auto"/>
            </w:tcBorders>
          </w:tcPr>
          <w:p w14:paraId="1992357C" w14:textId="77777777" w:rsidR="00C50FC7" w:rsidRDefault="00C50FC7" w:rsidP="00373163">
            <w:pPr>
              <w:ind w:left="-347"/>
              <w:jc w:val="center"/>
              <w:rPr>
                <w:rFonts w:ascii="Times" w:hAnsi="Times" w:cs="Times New Roman"/>
                <w:b/>
              </w:rPr>
            </w:pPr>
            <w:r>
              <w:rPr>
                <w:rFonts w:ascii="Times" w:hAnsi="Times" w:cs="Times New Roman"/>
                <w:b/>
              </w:rPr>
              <w:t>Model 2</w:t>
            </w:r>
          </w:p>
        </w:tc>
      </w:tr>
      <w:tr w:rsidR="00005C6E" w:rsidRPr="00373163" w14:paraId="2A882AC6" w14:textId="77777777">
        <w:trPr>
          <w:jc w:val="center"/>
        </w:trPr>
        <w:tc>
          <w:tcPr>
            <w:tcW w:w="3170" w:type="dxa"/>
            <w:tcBorders>
              <w:bottom w:val="single" w:sz="4" w:space="0" w:color="auto"/>
            </w:tcBorders>
          </w:tcPr>
          <w:p w14:paraId="2A62881F" w14:textId="77777777" w:rsidR="00C50FC7" w:rsidRPr="00373163" w:rsidRDefault="00C50FC7" w:rsidP="00373163">
            <w:pPr>
              <w:jc w:val="both"/>
              <w:rPr>
                <w:rFonts w:ascii="Times" w:hAnsi="Times" w:cs="Times New Roman"/>
              </w:rPr>
            </w:pPr>
          </w:p>
        </w:tc>
        <w:tc>
          <w:tcPr>
            <w:tcW w:w="1034" w:type="dxa"/>
            <w:tcBorders>
              <w:bottom w:val="single" w:sz="4" w:space="0" w:color="auto"/>
            </w:tcBorders>
          </w:tcPr>
          <w:p w14:paraId="210CCC5B" w14:textId="77777777" w:rsidR="00C50FC7" w:rsidRPr="00C50FC7" w:rsidRDefault="00C50FC7" w:rsidP="0011496B">
            <w:pPr>
              <w:rPr>
                <w:rFonts w:ascii="Times" w:hAnsi="Times" w:cs="Times New Roman"/>
                <w:b/>
              </w:rPr>
            </w:pPr>
            <w:r>
              <w:rPr>
                <w:rFonts w:ascii="Times" w:hAnsi="Times" w:cs="Times New Roman"/>
                <w:b/>
              </w:rPr>
              <w:t>Coe</w:t>
            </w:r>
            <w:r w:rsidRPr="00C50FC7">
              <w:rPr>
                <w:rFonts w:ascii="Times" w:hAnsi="Times" w:cs="Times New Roman"/>
                <w:b/>
              </w:rPr>
              <w:t>f.</w:t>
            </w:r>
          </w:p>
        </w:tc>
        <w:tc>
          <w:tcPr>
            <w:tcW w:w="991" w:type="dxa"/>
            <w:tcBorders>
              <w:bottom w:val="single" w:sz="4" w:space="0" w:color="auto"/>
            </w:tcBorders>
          </w:tcPr>
          <w:p w14:paraId="0308704A" w14:textId="77777777" w:rsidR="00C50FC7" w:rsidRPr="00373163" w:rsidRDefault="00C50FC7" w:rsidP="00C50FC7">
            <w:pPr>
              <w:jc w:val="center"/>
              <w:rPr>
                <w:rFonts w:ascii="Times" w:hAnsi="Times" w:cs="Times New Roman"/>
              </w:rPr>
            </w:pPr>
            <w:r w:rsidRPr="00373163">
              <w:rPr>
                <w:rFonts w:ascii="Times" w:hAnsi="Times" w:cs="Times New Roman"/>
                <w:b/>
              </w:rPr>
              <w:t>(S.E.)</w:t>
            </w:r>
          </w:p>
        </w:tc>
        <w:tc>
          <w:tcPr>
            <w:tcW w:w="236" w:type="dxa"/>
            <w:tcBorders>
              <w:bottom w:val="single" w:sz="4" w:space="0" w:color="auto"/>
            </w:tcBorders>
          </w:tcPr>
          <w:p w14:paraId="75C88751" w14:textId="77777777" w:rsidR="00C50FC7" w:rsidRPr="00373163" w:rsidRDefault="00C50FC7" w:rsidP="00C50FC7">
            <w:pPr>
              <w:jc w:val="center"/>
              <w:rPr>
                <w:rFonts w:ascii="Times" w:hAnsi="Times" w:cs="Times New Roman"/>
              </w:rPr>
            </w:pPr>
          </w:p>
        </w:tc>
        <w:tc>
          <w:tcPr>
            <w:tcW w:w="1032" w:type="dxa"/>
            <w:tcBorders>
              <w:bottom w:val="single" w:sz="4" w:space="0" w:color="auto"/>
            </w:tcBorders>
          </w:tcPr>
          <w:p w14:paraId="28FC36B9" w14:textId="77777777" w:rsidR="00C50FC7" w:rsidRPr="00C50FC7" w:rsidRDefault="00C50FC7" w:rsidP="0011496B">
            <w:pPr>
              <w:rPr>
                <w:rFonts w:ascii="Times" w:hAnsi="Times" w:cs="Times New Roman"/>
                <w:b/>
              </w:rPr>
            </w:pPr>
            <w:r w:rsidRPr="00C50FC7">
              <w:rPr>
                <w:rFonts w:ascii="Times" w:hAnsi="Times" w:cs="Times New Roman"/>
                <w:b/>
              </w:rPr>
              <w:t>Coef.</w:t>
            </w:r>
          </w:p>
        </w:tc>
        <w:tc>
          <w:tcPr>
            <w:tcW w:w="987" w:type="dxa"/>
            <w:tcBorders>
              <w:bottom w:val="single" w:sz="4" w:space="0" w:color="auto"/>
            </w:tcBorders>
          </w:tcPr>
          <w:p w14:paraId="6ECC3132" w14:textId="77777777" w:rsidR="00C50FC7" w:rsidRPr="00373163" w:rsidRDefault="00C50FC7" w:rsidP="00C50FC7">
            <w:pPr>
              <w:jc w:val="center"/>
              <w:rPr>
                <w:rFonts w:ascii="Times" w:hAnsi="Times" w:cs="Times New Roman"/>
              </w:rPr>
            </w:pPr>
            <w:r w:rsidRPr="00373163">
              <w:rPr>
                <w:rFonts w:ascii="Times" w:hAnsi="Times" w:cs="Times New Roman"/>
                <w:b/>
              </w:rPr>
              <w:t>(S.E.)</w:t>
            </w:r>
          </w:p>
        </w:tc>
      </w:tr>
      <w:tr w:rsidR="00005C6E" w:rsidRPr="00373163" w14:paraId="17BD8892" w14:textId="77777777">
        <w:trPr>
          <w:jc w:val="center"/>
        </w:trPr>
        <w:tc>
          <w:tcPr>
            <w:tcW w:w="3170" w:type="dxa"/>
            <w:tcBorders>
              <w:top w:val="single" w:sz="4" w:space="0" w:color="auto"/>
            </w:tcBorders>
          </w:tcPr>
          <w:p w14:paraId="44DDBF14" w14:textId="77777777" w:rsidR="00C50FC7" w:rsidRPr="00373163" w:rsidRDefault="00C50FC7" w:rsidP="00373163">
            <w:pPr>
              <w:jc w:val="both"/>
              <w:rPr>
                <w:rFonts w:ascii="Times" w:hAnsi="Times" w:cs="Times New Roman"/>
              </w:rPr>
            </w:pPr>
            <w:r w:rsidRPr="00373163">
              <w:rPr>
                <w:rFonts w:ascii="Times" w:hAnsi="Times" w:cs="Times New Roman"/>
              </w:rPr>
              <w:t>Difference in # of Briefs</w:t>
            </w:r>
          </w:p>
        </w:tc>
        <w:tc>
          <w:tcPr>
            <w:tcW w:w="1034" w:type="dxa"/>
            <w:tcBorders>
              <w:top w:val="single" w:sz="4" w:space="0" w:color="auto"/>
            </w:tcBorders>
          </w:tcPr>
          <w:p w14:paraId="09F8313E" w14:textId="77777777" w:rsidR="00C50FC7" w:rsidRPr="00373163" w:rsidRDefault="00C50FC7" w:rsidP="00C50FC7">
            <w:pPr>
              <w:jc w:val="both"/>
              <w:rPr>
                <w:rFonts w:ascii="Times" w:hAnsi="Times" w:cs="Times New Roman"/>
              </w:rPr>
            </w:pPr>
            <w:r w:rsidRPr="00373163">
              <w:rPr>
                <w:rFonts w:ascii="Times" w:hAnsi="Times" w:cs="Times New Roman"/>
              </w:rPr>
              <w:t>-0.015*</w:t>
            </w:r>
          </w:p>
        </w:tc>
        <w:tc>
          <w:tcPr>
            <w:tcW w:w="991" w:type="dxa"/>
            <w:tcBorders>
              <w:top w:val="single" w:sz="4" w:space="0" w:color="auto"/>
            </w:tcBorders>
          </w:tcPr>
          <w:p w14:paraId="1185DC3C" w14:textId="77777777" w:rsidR="00C50FC7" w:rsidRPr="00373163" w:rsidRDefault="00C50FC7" w:rsidP="0011496B">
            <w:pPr>
              <w:jc w:val="center"/>
              <w:rPr>
                <w:rFonts w:ascii="Times" w:hAnsi="Times" w:cs="Times New Roman"/>
              </w:rPr>
            </w:pPr>
            <w:r w:rsidRPr="00373163">
              <w:rPr>
                <w:rFonts w:ascii="Times" w:hAnsi="Times" w:cs="Times New Roman"/>
              </w:rPr>
              <w:t>(0.008)</w:t>
            </w:r>
          </w:p>
        </w:tc>
        <w:tc>
          <w:tcPr>
            <w:tcW w:w="236" w:type="dxa"/>
            <w:tcBorders>
              <w:top w:val="single" w:sz="4" w:space="0" w:color="auto"/>
            </w:tcBorders>
          </w:tcPr>
          <w:p w14:paraId="575EB2ED" w14:textId="77777777" w:rsidR="00C50FC7" w:rsidRPr="00373163" w:rsidRDefault="00C50FC7" w:rsidP="00373163">
            <w:pPr>
              <w:jc w:val="both"/>
              <w:rPr>
                <w:rFonts w:ascii="Times" w:hAnsi="Times" w:cs="Times New Roman"/>
              </w:rPr>
            </w:pPr>
          </w:p>
        </w:tc>
        <w:tc>
          <w:tcPr>
            <w:tcW w:w="1032" w:type="dxa"/>
            <w:tcBorders>
              <w:top w:val="single" w:sz="4" w:space="0" w:color="auto"/>
            </w:tcBorders>
          </w:tcPr>
          <w:p w14:paraId="670312B9" w14:textId="77777777" w:rsidR="00C50FC7" w:rsidRPr="00373163" w:rsidRDefault="00C50FC7" w:rsidP="00C50FC7">
            <w:pPr>
              <w:jc w:val="both"/>
              <w:rPr>
                <w:rFonts w:ascii="Times" w:hAnsi="Times" w:cs="Times New Roman"/>
              </w:rPr>
            </w:pPr>
            <w:r w:rsidRPr="00373163">
              <w:rPr>
                <w:rFonts w:ascii="Times" w:hAnsi="Times" w:cs="Times New Roman"/>
              </w:rPr>
              <w:t xml:space="preserve"> 0.020*</w:t>
            </w:r>
          </w:p>
        </w:tc>
        <w:tc>
          <w:tcPr>
            <w:tcW w:w="987" w:type="dxa"/>
            <w:tcBorders>
              <w:top w:val="single" w:sz="4" w:space="0" w:color="auto"/>
            </w:tcBorders>
          </w:tcPr>
          <w:p w14:paraId="7BF2413C" w14:textId="77777777" w:rsidR="00C50FC7" w:rsidRPr="00373163" w:rsidRDefault="00C50FC7" w:rsidP="0011496B">
            <w:pPr>
              <w:jc w:val="center"/>
              <w:rPr>
                <w:rFonts w:ascii="Times" w:hAnsi="Times" w:cs="Times New Roman"/>
              </w:rPr>
            </w:pPr>
            <w:r w:rsidRPr="00373163">
              <w:rPr>
                <w:rFonts w:ascii="Times" w:hAnsi="Times" w:cs="Times New Roman"/>
              </w:rPr>
              <w:t>(0.003)</w:t>
            </w:r>
          </w:p>
        </w:tc>
      </w:tr>
      <w:tr w:rsidR="00005C6E" w:rsidRPr="00373163" w14:paraId="05E44D43" w14:textId="77777777">
        <w:trPr>
          <w:jc w:val="center"/>
        </w:trPr>
        <w:tc>
          <w:tcPr>
            <w:tcW w:w="3170" w:type="dxa"/>
          </w:tcPr>
          <w:p w14:paraId="5D2D008F" w14:textId="77777777" w:rsidR="00C50FC7" w:rsidRPr="00373163" w:rsidRDefault="00C50FC7" w:rsidP="00373163">
            <w:pPr>
              <w:jc w:val="both"/>
              <w:rPr>
                <w:rFonts w:ascii="Times" w:hAnsi="Times" w:cs="Times New Roman"/>
              </w:rPr>
            </w:pPr>
            <w:r w:rsidRPr="00373163">
              <w:rPr>
                <w:rFonts w:ascii="Times" w:hAnsi="Times" w:cs="Times New Roman"/>
              </w:rPr>
              <w:t xml:space="preserve">Difference in </w:t>
            </w:r>
            <w:proofErr w:type="gramStart"/>
            <w:r w:rsidRPr="00373163">
              <w:rPr>
                <w:rFonts w:ascii="Times" w:hAnsi="Times" w:cs="Times New Roman"/>
              </w:rPr>
              <w:t>ln(</w:t>
            </w:r>
            <w:proofErr w:type="gramEnd"/>
            <w:r w:rsidRPr="00373163">
              <w:rPr>
                <w:rFonts w:ascii="Times" w:hAnsi="Times" w:cs="Times New Roman"/>
              </w:rPr>
              <w:t>Word Count)</w:t>
            </w:r>
          </w:p>
        </w:tc>
        <w:tc>
          <w:tcPr>
            <w:tcW w:w="1034" w:type="dxa"/>
          </w:tcPr>
          <w:p w14:paraId="227B5EA5" w14:textId="77777777" w:rsidR="00C50FC7" w:rsidRPr="00373163" w:rsidRDefault="00C50FC7" w:rsidP="00373163">
            <w:pPr>
              <w:jc w:val="both"/>
              <w:rPr>
                <w:rFonts w:ascii="Times" w:hAnsi="Times" w:cs="Times New Roman"/>
              </w:rPr>
            </w:pPr>
            <w:r w:rsidRPr="00373163">
              <w:rPr>
                <w:rFonts w:ascii="Times" w:hAnsi="Times" w:cs="Times New Roman"/>
              </w:rPr>
              <w:t xml:space="preserve"> 0.361*</w:t>
            </w:r>
          </w:p>
        </w:tc>
        <w:tc>
          <w:tcPr>
            <w:tcW w:w="991" w:type="dxa"/>
          </w:tcPr>
          <w:p w14:paraId="71EA9A9C" w14:textId="77777777" w:rsidR="00C50FC7" w:rsidRPr="00373163" w:rsidRDefault="00C50FC7" w:rsidP="0011496B">
            <w:pPr>
              <w:jc w:val="center"/>
              <w:rPr>
                <w:rFonts w:ascii="Times" w:hAnsi="Times" w:cs="Times New Roman"/>
              </w:rPr>
            </w:pPr>
            <w:r w:rsidRPr="00373163">
              <w:rPr>
                <w:rFonts w:ascii="Times" w:hAnsi="Times" w:cs="Times New Roman"/>
              </w:rPr>
              <w:t>(0.066)</w:t>
            </w:r>
          </w:p>
        </w:tc>
        <w:tc>
          <w:tcPr>
            <w:tcW w:w="236" w:type="dxa"/>
          </w:tcPr>
          <w:p w14:paraId="503A3521" w14:textId="77777777" w:rsidR="00C50FC7" w:rsidRPr="00373163" w:rsidRDefault="00C50FC7" w:rsidP="00373163">
            <w:pPr>
              <w:jc w:val="both"/>
              <w:rPr>
                <w:rFonts w:ascii="Times" w:hAnsi="Times" w:cs="Times New Roman"/>
              </w:rPr>
            </w:pPr>
          </w:p>
        </w:tc>
        <w:tc>
          <w:tcPr>
            <w:tcW w:w="1032" w:type="dxa"/>
          </w:tcPr>
          <w:p w14:paraId="6415008A" w14:textId="77777777" w:rsidR="00C50FC7" w:rsidRPr="00373163" w:rsidRDefault="00C50FC7" w:rsidP="00373163">
            <w:pPr>
              <w:jc w:val="both"/>
              <w:rPr>
                <w:rFonts w:ascii="Times" w:hAnsi="Times" w:cs="Times New Roman"/>
              </w:rPr>
            </w:pPr>
          </w:p>
        </w:tc>
        <w:tc>
          <w:tcPr>
            <w:tcW w:w="987" w:type="dxa"/>
          </w:tcPr>
          <w:p w14:paraId="14C287E6" w14:textId="77777777" w:rsidR="00C50FC7" w:rsidRPr="00373163" w:rsidRDefault="00C50FC7" w:rsidP="0011496B">
            <w:pPr>
              <w:jc w:val="center"/>
              <w:rPr>
                <w:rFonts w:ascii="Times" w:hAnsi="Times" w:cs="Times New Roman"/>
              </w:rPr>
            </w:pPr>
          </w:p>
        </w:tc>
      </w:tr>
      <w:tr w:rsidR="00005C6E" w:rsidRPr="00373163" w14:paraId="79E91AA0" w14:textId="77777777">
        <w:trPr>
          <w:jc w:val="center"/>
        </w:trPr>
        <w:tc>
          <w:tcPr>
            <w:tcW w:w="3170" w:type="dxa"/>
          </w:tcPr>
          <w:p w14:paraId="2274BA7D" w14:textId="77777777" w:rsidR="00C50FC7" w:rsidRPr="00373163" w:rsidRDefault="00005C6E" w:rsidP="00373163">
            <w:pPr>
              <w:jc w:val="both"/>
              <w:rPr>
                <w:rFonts w:ascii="Times" w:hAnsi="Times" w:cs="Times New Roman"/>
              </w:rPr>
            </w:pPr>
            <w:r>
              <w:rPr>
                <w:rFonts w:ascii="Times" w:hAnsi="Times" w:cs="Times New Roman"/>
              </w:rPr>
              <w:t>Diff.</w:t>
            </w:r>
            <w:r w:rsidR="00C50FC7" w:rsidRPr="00373163">
              <w:rPr>
                <w:rFonts w:ascii="Times" w:hAnsi="Times" w:cs="Times New Roman"/>
              </w:rPr>
              <w:t xml:space="preserve"> in Total </w:t>
            </w:r>
            <w:proofErr w:type="spellStart"/>
            <w:r w:rsidR="00C50FC7" w:rsidRPr="00373163">
              <w:rPr>
                <w:rFonts w:ascii="Times" w:hAnsi="Times" w:cs="Times New Roman"/>
              </w:rPr>
              <w:t>S.Ct</w:t>
            </w:r>
            <w:proofErr w:type="spellEnd"/>
            <w:r w:rsidR="00C50FC7" w:rsidRPr="00373163">
              <w:rPr>
                <w:rFonts w:ascii="Times" w:hAnsi="Times" w:cs="Times New Roman"/>
              </w:rPr>
              <w:t>. Cites/100</w:t>
            </w:r>
          </w:p>
        </w:tc>
        <w:tc>
          <w:tcPr>
            <w:tcW w:w="1034" w:type="dxa"/>
          </w:tcPr>
          <w:p w14:paraId="73231B42" w14:textId="77777777" w:rsidR="00C50FC7" w:rsidRPr="00373163" w:rsidRDefault="00C50FC7" w:rsidP="00373163">
            <w:pPr>
              <w:jc w:val="both"/>
              <w:rPr>
                <w:rFonts w:ascii="Times" w:hAnsi="Times" w:cs="Times New Roman"/>
              </w:rPr>
            </w:pPr>
            <w:r w:rsidRPr="00373163">
              <w:rPr>
                <w:rFonts w:ascii="Times" w:hAnsi="Times" w:cs="Times New Roman"/>
              </w:rPr>
              <w:t xml:space="preserve"> 0.078*</w:t>
            </w:r>
          </w:p>
        </w:tc>
        <w:tc>
          <w:tcPr>
            <w:tcW w:w="991" w:type="dxa"/>
          </w:tcPr>
          <w:p w14:paraId="24D9A89E" w14:textId="77777777" w:rsidR="00C50FC7" w:rsidRPr="00373163" w:rsidRDefault="00C50FC7" w:rsidP="0011496B">
            <w:pPr>
              <w:jc w:val="center"/>
              <w:rPr>
                <w:rFonts w:ascii="Times" w:hAnsi="Times" w:cs="Times New Roman"/>
              </w:rPr>
            </w:pPr>
            <w:r w:rsidRPr="00373163">
              <w:rPr>
                <w:rFonts w:ascii="Times" w:hAnsi="Times" w:cs="Times New Roman"/>
              </w:rPr>
              <w:t>(0.024)</w:t>
            </w:r>
          </w:p>
        </w:tc>
        <w:tc>
          <w:tcPr>
            <w:tcW w:w="236" w:type="dxa"/>
          </w:tcPr>
          <w:p w14:paraId="4D266FC4" w14:textId="77777777" w:rsidR="00C50FC7" w:rsidRPr="00373163" w:rsidRDefault="00C50FC7" w:rsidP="00373163">
            <w:pPr>
              <w:jc w:val="both"/>
              <w:rPr>
                <w:rFonts w:ascii="Times" w:hAnsi="Times" w:cs="Times New Roman"/>
              </w:rPr>
            </w:pPr>
          </w:p>
        </w:tc>
        <w:tc>
          <w:tcPr>
            <w:tcW w:w="1032" w:type="dxa"/>
          </w:tcPr>
          <w:p w14:paraId="569A9F26" w14:textId="77777777" w:rsidR="00C50FC7" w:rsidRPr="00373163" w:rsidRDefault="00C50FC7" w:rsidP="00373163">
            <w:pPr>
              <w:jc w:val="both"/>
              <w:rPr>
                <w:rFonts w:ascii="Times" w:hAnsi="Times" w:cs="Times New Roman"/>
              </w:rPr>
            </w:pPr>
          </w:p>
        </w:tc>
        <w:tc>
          <w:tcPr>
            <w:tcW w:w="987" w:type="dxa"/>
          </w:tcPr>
          <w:p w14:paraId="04D852B2" w14:textId="77777777" w:rsidR="00C50FC7" w:rsidRPr="00373163" w:rsidRDefault="00C50FC7" w:rsidP="0011496B">
            <w:pPr>
              <w:jc w:val="center"/>
              <w:rPr>
                <w:rFonts w:ascii="Times" w:hAnsi="Times" w:cs="Times New Roman"/>
              </w:rPr>
            </w:pPr>
          </w:p>
        </w:tc>
      </w:tr>
      <w:tr w:rsidR="00005C6E" w:rsidRPr="00373163" w14:paraId="416C058D" w14:textId="77777777">
        <w:trPr>
          <w:jc w:val="center"/>
        </w:trPr>
        <w:tc>
          <w:tcPr>
            <w:tcW w:w="3170" w:type="dxa"/>
          </w:tcPr>
          <w:p w14:paraId="7EAF7384" w14:textId="77777777" w:rsidR="00C50FC7" w:rsidRPr="00373163" w:rsidRDefault="00005C6E" w:rsidP="00005C6E">
            <w:pPr>
              <w:jc w:val="both"/>
              <w:rPr>
                <w:rFonts w:ascii="Times" w:hAnsi="Times" w:cs="Times New Roman"/>
              </w:rPr>
            </w:pPr>
            <w:r>
              <w:rPr>
                <w:rFonts w:ascii="Times" w:hAnsi="Times" w:cs="Times New Roman"/>
              </w:rPr>
              <w:t>Diff. in</w:t>
            </w:r>
            <w:r w:rsidR="00C50FC7" w:rsidRPr="00373163">
              <w:rPr>
                <w:rFonts w:ascii="Times" w:hAnsi="Times" w:cs="Times New Roman"/>
              </w:rPr>
              <w:t xml:space="preserve"> Unique Words/1000</w:t>
            </w:r>
          </w:p>
        </w:tc>
        <w:tc>
          <w:tcPr>
            <w:tcW w:w="1034" w:type="dxa"/>
          </w:tcPr>
          <w:p w14:paraId="2BEF97D9" w14:textId="77777777" w:rsidR="00C50FC7" w:rsidRPr="00373163" w:rsidRDefault="00C50FC7" w:rsidP="00373163">
            <w:pPr>
              <w:jc w:val="both"/>
              <w:rPr>
                <w:rFonts w:ascii="Times" w:hAnsi="Times" w:cs="Times New Roman"/>
              </w:rPr>
            </w:pPr>
            <w:r w:rsidRPr="00373163">
              <w:rPr>
                <w:rFonts w:ascii="Times" w:hAnsi="Times" w:cs="Times New Roman"/>
              </w:rPr>
              <w:t>-0.036</w:t>
            </w:r>
          </w:p>
        </w:tc>
        <w:tc>
          <w:tcPr>
            <w:tcW w:w="991" w:type="dxa"/>
          </w:tcPr>
          <w:p w14:paraId="21A13447" w14:textId="77777777" w:rsidR="00C50FC7" w:rsidRPr="00373163" w:rsidRDefault="00C50FC7" w:rsidP="0011496B">
            <w:pPr>
              <w:jc w:val="center"/>
              <w:rPr>
                <w:rFonts w:ascii="Times" w:hAnsi="Times" w:cs="Times New Roman"/>
              </w:rPr>
            </w:pPr>
            <w:r w:rsidRPr="00373163">
              <w:rPr>
                <w:rFonts w:ascii="Times" w:hAnsi="Times" w:cs="Times New Roman"/>
              </w:rPr>
              <w:t>(0.040)</w:t>
            </w:r>
          </w:p>
        </w:tc>
        <w:tc>
          <w:tcPr>
            <w:tcW w:w="236" w:type="dxa"/>
          </w:tcPr>
          <w:p w14:paraId="405F5678" w14:textId="77777777" w:rsidR="00C50FC7" w:rsidRPr="00373163" w:rsidRDefault="00C50FC7" w:rsidP="00373163">
            <w:pPr>
              <w:jc w:val="both"/>
              <w:rPr>
                <w:rFonts w:ascii="Times" w:hAnsi="Times" w:cs="Times New Roman"/>
              </w:rPr>
            </w:pPr>
          </w:p>
        </w:tc>
        <w:tc>
          <w:tcPr>
            <w:tcW w:w="1032" w:type="dxa"/>
          </w:tcPr>
          <w:p w14:paraId="248508CC" w14:textId="77777777" w:rsidR="00C50FC7" w:rsidRPr="00373163" w:rsidRDefault="00C50FC7" w:rsidP="00373163">
            <w:pPr>
              <w:jc w:val="both"/>
              <w:rPr>
                <w:rFonts w:ascii="Times" w:hAnsi="Times" w:cs="Times New Roman"/>
              </w:rPr>
            </w:pPr>
          </w:p>
        </w:tc>
        <w:tc>
          <w:tcPr>
            <w:tcW w:w="987" w:type="dxa"/>
          </w:tcPr>
          <w:p w14:paraId="1EAF2D5D" w14:textId="77777777" w:rsidR="00C50FC7" w:rsidRPr="00373163" w:rsidRDefault="00C50FC7" w:rsidP="0011496B">
            <w:pPr>
              <w:jc w:val="center"/>
              <w:rPr>
                <w:rFonts w:ascii="Times" w:hAnsi="Times" w:cs="Times New Roman"/>
              </w:rPr>
            </w:pPr>
          </w:p>
        </w:tc>
      </w:tr>
      <w:tr w:rsidR="00005C6E" w:rsidRPr="00373163" w14:paraId="42BC4E5E" w14:textId="77777777">
        <w:trPr>
          <w:jc w:val="center"/>
        </w:trPr>
        <w:tc>
          <w:tcPr>
            <w:tcW w:w="3170" w:type="dxa"/>
          </w:tcPr>
          <w:p w14:paraId="681DD7F9" w14:textId="77777777" w:rsidR="00C50FC7" w:rsidRPr="00373163" w:rsidRDefault="00005C6E" w:rsidP="00373163">
            <w:pPr>
              <w:jc w:val="both"/>
              <w:rPr>
                <w:rFonts w:ascii="Times" w:hAnsi="Times" w:cs="Times New Roman"/>
              </w:rPr>
            </w:pPr>
            <w:r>
              <w:rPr>
                <w:rFonts w:ascii="Times" w:hAnsi="Times" w:cs="Times New Roman"/>
              </w:rPr>
              <w:t>Diff.</w:t>
            </w:r>
            <w:r w:rsidR="00C50FC7" w:rsidRPr="00373163">
              <w:rPr>
                <w:rFonts w:ascii="Times" w:hAnsi="Times" w:cs="Times New Roman"/>
              </w:rPr>
              <w:t xml:space="preserve"> in </w:t>
            </w:r>
            <w:proofErr w:type="spellStart"/>
            <w:r w:rsidR="00C50FC7" w:rsidRPr="00373163">
              <w:rPr>
                <w:rFonts w:ascii="Times" w:hAnsi="Times" w:cs="Times New Roman"/>
              </w:rPr>
              <w:t>S.Ct</w:t>
            </w:r>
            <w:proofErr w:type="spellEnd"/>
            <w:r w:rsidR="00C50FC7" w:rsidRPr="00373163">
              <w:rPr>
                <w:rFonts w:ascii="Times" w:hAnsi="Times" w:cs="Times New Roman"/>
              </w:rPr>
              <w:t>. Cases Cited/100</w:t>
            </w:r>
          </w:p>
        </w:tc>
        <w:tc>
          <w:tcPr>
            <w:tcW w:w="1034" w:type="dxa"/>
          </w:tcPr>
          <w:p w14:paraId="5BF35EEC" w14:textId="77777777" w:rsidR="00C50FC7" w:rsidRPr="00373163" w:rsidRDefault="00C50FC7" w:rsidP="00373163">
            <w:pPr>
              <w:jc w:val="both"/>
              <w:rPr>
                <w:rFonts w:ascii="Times" w:hAnsi="Times" w:cs="Times New Roman"/>
              </w:rPr>
            </w:pPr>
            <w:r w:rsidRPr="00373163">
              <w:rPr>
                <w:rFonts w:ascii="Times" w:hAnsi="Times" w:cs="Times New Roman"/>
              </w:rPr>
              <w:t>-0.020</w:t>
            </w:r>
          </w:p>
        </w:tc>
        <w:tc>
          <w:tcPr>
            <w:tcW w:w="991" w:type="dxa"/>
          </w:tcPr>
          <w:p w14:paraId="228D5A0E" w14:textId="77777777" w:rsidR="00C50FC7" w:rsidRPr="00373163" w:rsidRDefault="00C50FC7" w:rsidP="0011496B">
            <w:pPr>
              <w:jc w:val="center"/>
              <w:rPr>
                <w:rFonts w:ascii="Times" w:hAnsi="Times" w:cs="Times New Roman"/>
              </w:rPr>
            </w:pPr>
            <w:r w:rsidRPr="00373163">
              <w:rPr>
                <w:rFonts w:ascii="Times" w:hAnsi="Times" w:cs="Times New Roman"/>
              </w:rPr>
              <w:t>(0.089)</w:t>
            </w:r>
          </w:p>
        </w:tc>
        <w:tc>
          <w:tcPr>
            <w:tcW w:w="236" w:type="dxa"/>
          </w:tcPr>
          <w:p w14:paraId="23C48828" w14:textId="77777777" w:rsidR="00C50FC7" w:rsidRPr="00373163" w:rsidRDefault="00C50FC7" w:rsidP="00373163">
            <w:pPr>
              <w:jc w:val="both"/>
              <w:rPr>
                <w:rFonts w:ascii="Times" w:hAnsi="Times" w:cs="Times New Roman"/>
              </w:rPr>
            </w:pPr>
          </w:p>
        </w:tc>
        <w:tc>
          <w:tcPr>
            <w:tcW w:w="1032" w:type="dxa"/>
          </w:tcPr>
          <w:p w14:paraId="45A81B6E" w14:textId="77777777" w:rsidR="00C50FC7" w:rsidRPr="00373163" w:rsidRDefault="00C50FC7" w:rsidP="00373163">
            <w:pPr>
              <w:jc w:val="both"/>
              <w:rPr>
                <w:rFonts w:ascii="Times" w:hAnsi="Times" w:cs="Times New Roman"/>
              </w:rPr>
            </w:pPr>
          </w:p>
        </w:tc>
        <w:tc>
          <w:tcPr>
            <w:tcW w:w="987" w:type="dxa"/>
          </w:tcPr>
          <w:p w14:paraId="5D312DF1" w14:textId="77777777" w:rsidR="00C50FC7" w:rsidRPr="00373163" w:rsidRDefault="00C50FC7" w:rsidP="0011496B">
            <w:pPr>
              <w:jc w:val="center"/>
              <w:rPr>
                <w:rFonts w:ascii="Times" w:hAnsi="Times" w:cs="Times New Roman"/>
              </w:rPr>
            </w:pPr>
          </w:p>
        </w:tc>
      </w:tr>
      <w:tr w:rsidR="00005C6E" w:rsidRPr="00373163" w14:paraId="3B8A64B0" w14:textId="77777777">
        <w:trPr>
          <w:jc w:val="center"/>
        </w:trPr>
        <w:tc>
          <w:tcPr>
            <w:tcW w:w="3170" w:type="dxa"/>
          </w:tcPr>
          <w:p w14:paraId="4D17417E" w14:textId="77777777" w:rsidR="00C50FC7" w:rsidRPr="00373163" w:rsidRDefault="00C50FC7" w:rsidP="00373163">
            <w:pPr>
              <w:jc w:val="both"/>
              <w:rPr>
                <w:rFonts w:ascii="Times" w:hAnsi="Times" w:cs="Times New Roman"/>
              </w:rPr>
            </w:pPr>
            <w:r w:rsidRPr="00373163">
              <w:rPr>
                <w:rFonts w:ascii="Times" w:hAnsi="Times" w:cs="Times New Roman"/>
              </w:rPr>
              <w:t>Solicitor General: Petitioner</w:t>
            </w:r>
          </w:p>
        </w:tc>
        <w:tc>
          <w:tcPr>
            <w:tcW w:w="1034" w:type="dxa"/>
          </w:tcPr>
          <w:p w14:paraId="10385458" w14:textId="77777777" w:rsidR="00C50FC7" w:rsidRPr="00373163" w:rsidRDefault="00C50FC7" w:rsidP="00373163">
            <w:pPr>
              <w:jc w:val="both"/>
              <w:rPr>
                <w:rFonts w:ascii="Times" w:hAnsi="Times" w:cs="Times New Roman"/>
              </w:rPr>
            </w:pPr>
            <w:r w:rsidRPr="00373163">
              <w:rPr>
                <w:rFonts w:ascii="Times" w:hAnsi="Times" w:cs="Times New Roman"/>
              </w:rPr>
              <w:t xml:space="preserve"> 0.027</w:t>
            </w:r>
          </w:p>
        </w:tc>
        <w:tc>
          <w:tcPr>
            <w:tcW w:w="991" w:type="dxa"/>
          </w:tcPr>
          <w:p w14:paraId="5C087814" w14:textId="77777777" w:rsidR="00C50FC7" w:rsidRPr="00373163" w:rsidRDefault="00C50FC7" w:rsidP="0011496B">
            <w:pPr>
              <w:jc w:val="center"/>
              <w:rPr>
                <w:rFonts w:ascii="Times" w:hAnsi="Times" w:cs="Times New Roman"/>
              </w:rPr>
            </w:pPr>
            <w:r w:rsidRPr="00373163">
              <w:rPr>
                <w:rFonts w:ascii="Times" w:hAnsi="Times" w:cs="Times New Roman"/>
              </w:rPr>
              <w:t>(0.086)</w:t>
            </w:r>
          </w:p>
        </w:tc>
        <w:tc>
          <w:tcPr>
            <w:tcW w:w="236" w:type="dxa"/>
          </w:tcPr>
          <w:p w14:paraId="4BF37560" w14:textId="77777777" w:rsidR="00C50FC7" w:rsidRPr="00373163" w:rsidRDefault="00C50FC7" w:rsidP="00373163">
            <w:pPr>
              <w:jc w:val="both"/>
              <w:rPr>
                <w:rFonts w:ascii="Times" w:hAnsi="Times" w:cs="Times New Roman"/>
              </w:rPr>
            </w:pPr>
          </w:p>
        </w:tc>
        <w:tc>
          <w:tcPr>
            <w:tcW w:w="1032" w:type="dxa"/>
          </w:tcPr>
          <w:p w14:paraId="55EAC31C" w14:textId="77777777" w:rsidR="00C50FC7" w:rsidRPr="00373163" w:rsidRDefault="00C50FC7" w:rsidP="00C50FC7">
            <w:pPr>
              <w:jc w:val="both"/>
              <w:rPr>
                <w:rFonts w:ascii="Times" w:hAnsi="Times" w:cs="Times New Roman"/>
              </w:rPr>
            </w:pPr>
            <w:r w:rsidRPr="00373163">
              <w:rPr>
                <w:rFonts w:ascii="Times" w:hAnsi="Times" w:cs="Times New Roman"/>
              </w:rPr>
              <w:t xml:space="preserve"> 0.079</w:t>
            </w:r>
          </w:p>
        </w:tc>
        <w:tc>
          <w:tcPr>
            <w:tcW w:w="987" w:type="dxa"/>
          </w:tcPr>
          <w:p w14:paraId="2A4BDDD8" w14:textId="77777777" w:rsidR="00C50FC7" w:rsidRPr="00373163" w:rsidRDefault="00C50FC7" w:rsidP="0011496B">
            <w:pPr>
              <w:jc w:val="center"/>
              <w:rPr>
                <w:rFonts w:ascii="Times" w:hAnsi="Times" w:cs="Times New Roman"/>
              </w:rPr>
            </w:pPr>
            <w:r w:rsidRPr="00373163">
              <w:rPr>
                <w:rFonts w:ascii="Times" w:hAnsi="Times" w:cs="Times New Roman"/>
              </w:rPr>
              <w:t>(0.084)</w:t>
            </w:r>
          </w:p>
        </w:tc>
      </w:tr>
      <w:tr w:rsidR="00005C6E" w:rsidRPr="00373163" w14:paraId="47502143" w14:textId="77777777">
        <w:trPr>
          <w:jc w:val="center"/>
        </w:trPr>
        <w:tc>
          <w:tcPr>
            <w:tcW w:w="3170" w:type="dxa"/>
          </w:tcPr>
          <w:p w14:paraId="474576C6" w14:textId="77777777" w:rsidR="00C50FC7" w:rsidRPr="00373163" w:rsidRDefault="00C50FC7" w:rsidP="00373163">
            <w:pPr>
              <w:jc w:val="both"/>
              <w:rPr>
                <w:rFonts w:ascii="Times" w:hAnsi="Times" w:cs="Times New Roman"/>
              </w:rPr>
            </w:pPr>
            <w:r w:rsidRPr="00373163">
              <w:rPr>
                <w:rFonts w:ascii="Times" w:hAnsi="Times" w:cs="Times New Roman"/>
              </w:rPr>
              <w:t>Solicitor General: Respondent</w:t>
            </w:r>
          </w:p>
        </w:tc>
        <w:tc>
          <w:tcPr>
            <w:tcW w:w="1034" w:type="dxa"/>
          </w:tcPr>
          <w:p w14:paraId="4EEA64AB" w14:textId="77777777" w:rsidR="00C50FC7" w:rsidRPr="00373163" w:rsidRDefault="00C50FC7" w:rsidP="00373163">
            <w:pPr>
              <w:jc w:val="both"/>
              <w:rPr>
                <w:rFonts w:ascii="Times" w:hAnsi="Times" w:cs="Times New Roman"/>
              </w:rPr>
            </w:pPr>
            <w:r w:rsidRPr="00373163">
              <w:rPr>
                <w:rFonts w:ascii="Times" w:hAnsi="Times" w:cs="Times New Roman"/>
              </w:rPr>
              <w:t>-0.427*</w:t>
            </w:r>
          </w:p>
        </w:tc>
        <w:tc>
          <w:tcPr>
            <w:tcW w:w="991" w:type="dxa"/>
          </w:tcPr>
          <w:p w14:paraId="1124CCB1" w14:textId="77777777" w:rsidR="00C50FC7" w:rsidRPr="00373163" w:rsidRDefault="00C50FC7" w:rsidP="0011496B">
            <w:pPr>
              <w:jc w:val="center"/>
              <w:rPr>
                <w:rFonts w:ascii="Times" w:hAnsi="Times" w:cs="Times New Roman"/>
              </w:rPr>
            </w:pPr>
            <w:r w:rsidRPr="00373163">
              <w:rPr>
                <w:rFonts w:ascii="Times" w:hAnsi="Times" w:cs="Times New Roman"/>
              </w:rPr>
              <w:t>(0.089)</w:t>
            </w:r>
          </w:p>
        </w:tc>
        <w:tc>
          <w:tcPr>
            <w:tcW w:w="236" w:type="dxa"/>
          </w:tcPr>
          <w:p w14:paraId="4BCD4A3D" w14:textId="77777777" w:rsidR="00C50FC7" w:rsidRPr="00373163" w:rsidRDefault="00C50FC7" w:rsidP="00373163">
            <w:pPr>
              <w:jc w:val="both"/>
              <w:rPr>
                <w:rFonts w:ascii="Times" w:hAnsi="Times" w:cs="Times New Roman"/>
              </w:rPr>
            </w:pPr>
          </w:p>
        </w:tc>
        <w:tc>
          <w:tcPr>
            <w:tcW w:w="1032" w:type="dxa"/>
          </w:tcPr>
          <w:p w14:paraId="1DA5D8E2" w14:textId="77777777" w:rsidR="00C50FC7" w:rsidRPr="00373163" w:rsidRDefault="00C50FC7" w:rsidP="00C50FC7">
            <w:pPr>
              <w:jc w:val="both"/>
              <w:rPr>
                <w:rFonts w:ascii="Times" w:hAnsi="Times" w:cs="Times New Roman"/>
              </w:rPr>
            </w:pPr>
            <w:r w:rsidRPr="00373163">
              <w:rPr>
                <w:rFonts w:ascii="Times" w:hAnsi="Times" w:cs="Times New Roman"/>
              </w:rPr>
              <w:t>-0.473*</w:t>
            </w:r>
          </w:p>
        </w:tc>
        <w:tc>
          <w:tcPr>
            <w:tcW w:w="987" w:type="dxa"/>
          </w:tcPr>
          <w:p w14:paraId="7E7E1DF4" w14:textId="77777777" w:rsidR="00C50FC7" w:rsidRPr="00373163" w:rsidRDefault="00C50FC7" w:rsidP="0011496B">
            <w:pPr>
              <w:jc w:val="center"/>
              <w:rPr>
                <w:rFonts w:ascii="Times" w:hAnsi="Times" w:cs="Times New Roman"/>
              </w:rPr>
            </w:pPr>
            <w:r w:rsidRPr="00373163">
              <w:rPr>
                <w:rFonts w:ascii="Times" w:hAnsi="Times" w:cs="Times New Roman"/>
              </w:rPr>
              <w:t>(0.087)</w:t>
            </w:r>
          </w:p>
        </w:tc>
      </w:tr>
      <w:tr w:rsidR="00005C6E" w:rsidRPr="00373163" w14:paraId="6CB553D1" w14:textId="77777777">
        <w:trPr>
          <w:jc w:val="center"/>
        </w:trPr>
        <w:tc>
          <w:tcPr>
            <w:tcW w:w="3170" w:type="dxa"/>
          </w:tcPr>
          <w:p w14:paraId="6818D87C" w14:textId="77777777" w:rsidR="00C50FC7" w:rsidRPr="00373163" w:rsidRDefault="00C50FC7" w:rsidP="00373163">
            <w:pPr>
              <w:jc w:val="both"/>
              <w:rPr>
                <w:rFonts w:ascii="Times" w:hAnsi="Times" w:cs="Times New Roman"/>
              </w:rPr>
            </w:pPr>
            <w:r w:rsidRPr="00373163">
              <w:rPr>
                <w:rFonts w:ascii="Times" w:hAnsi="Times" w:cs="Times New Roman"/>
              </w:rPr>
              <w:t>Id</w:t>
            </w:r>
            <w:r w:rsidR="00005C6E">
              <w:rPr>
                <w:rFonts w:ascii="Times" w:hAnsi="Times" w:cs="Times New Roman"/>
              </w:rPr>
              <w:t>eological Alignment w/Pet.</w:t>
            </w:r>
          </w:p>
        </w:tc>
        <w:tc>
          <w:tcPr>
            <w:tcW w:w="1034" w:type="dxa"/>
          </w:tcPr>
          <w:p w14:paraId="1C360263" w14:textId="77777777" w:rsidR="00C50FC7" w:rsidRPr="00373163" w:rsidRDefault="00C50FC7" w:rsidP="00373163">
            <w:pPr>
              <w:jc w:val="both"/>
              <w:rPr>
                <w:rFonts w:ascii="Times" w:hAnsi="Times" w:cs="Times New Roman"/>
              </w:rPr>
            </w:pPr>
            <w:r w:rsidRPr="00373163">
              <w:rPr>
                <w:rFonts w:ascii="Times" w:hAnsi="Times" w:cs="Times New Roman"/>
              </w:rPr>
              <w:t xml:space="preserve"> 0.172*</w:t>
            </w:r>
          </w:p>
        </w:tc>
        <w:tc>
          <w:tcPr>
            <w:tcW w:w="991" w:type="dxa"/>
          </w:tcPr>
          <w:p w14:paraId="5F0654AC" w14:textId="77777777" w:rsidR="00C50FC7" w:rsidRPr="00373163" w:rsidRDefault="00C50FC7" w:rsidP="0011496B">
            <w:pPr>
              <w:jc w:val="center"/>
              <w:rPr>
                <w:rFonts w:ascii="Times" w:hAnsi="Times" w:cs="Times New Roman"/>
              </w:rPr>
            </w:pPr>
            <w:r w:rsidRPr="00373163">
              <w:rPr>
                <w:rFonts w:ascii="Times" w:hAnsi="Times" w:cs="Times New Roman"/>
              </w:rPr>
              <w:t>(0.009)</w:t>
            </w:r>
          </w:p>
        </w:tc>
        <w:tc>
          <w:tcPr>
            <w:tcW w:w="236" w:type="dxa"/>
          </w:tcPr>
          <w:p w14:paraId="10EB39FB" w14:textId="77777777" w:rsidR="00C50FC7" w:rsidRPr="00373163" w:rsidRDefault="00C50FC7" w:rsidP="00373163">
            <w:pPr>
              <w:jc w:val="both"/>
              <w:rPr>
                <w:rFonts w:ascii="Times" w:hAnsi="Times" w:cs="Times New Roman"/>
              </w:rPr>
            </w:pPr>
          </w:p>
        </w:tc>
        <w:tc>
          <w:tcPr>
            <w:tcW w:w="1032" w:type="dxa"/>
          </w:tcPr>
          <w:p w14:paraId="2B1C1073" w14:textId="77777777" w:rsidR="00C50FC7" w:rsidRPr="00373163" w:rsidRDefault="00C50FC7" w:rsidP="00C50FC7">
            <w:pPr>
              <w:jc w:val="both"/>
              <w:rPr>
                <w:rFonts w:ascii="Times" w:hAnsi="Times" w:cs="Times New Roman"/>
              </w:rPr>
            </w:pPr>
            <w:r w:rsidRPr="00373163">
              <w:rPr>
                <w:rFonts w:ascii="Times" w:hAnsi="Times" w:cs="Times New Roman"/>
              </w:rPr>
              <w:t xml:space="preserve"> 0.169*</w:t>
            </w:r>
          </w:p>
        </w:tc>
        <w:tc>
          <w:tcPr>
            <w:tcW w:w="987" w:type="dxa"/>
          </w:tcPr>
          <w:p w14:paraId="6EAFE371" w14:textId="77777777" w:rsidR="00C50FC7" w:rsidRPr="00373163" w:rsidRDefault="00C50FC7" w:rsidP="0011496B">
            <w:pPr>
              <w:jc w:val="center"/>
              <w:rPr>
                <w:rFonts w:ascii="Times" w:hAnsi="Times" w:cs="Times New Roman"/>
              </w:rPr>
            </w:pPr>
            <w:r w:rsidRPr="00373163">
              <w:rPr>
                <w:rFonts w:ascii="Times" w:hAnsi="Times" w:cs="Times New Roman"/>
              </w:rPr>
              <w:t>(0.009)</w:t>
            </w:r>
          </w:p>
        </w:tc>
      </w:tr>
      <w:tr w:rsidR="00005C6E" w:rsidRPr="00373163" w14:paraId="6B503774" w14:textId="77777777">
        <w:trPr>
          <w:jc w:val="center"/>
        </w:trPr>
        <w:tc>
          <w:tcPr>
            <w:tcW w:w="3170" w:type="dxa"/>
          </w:tcPr>
          <w:p w14:paraId="035D7D2E" w14:textId="77777777" w:rsidR="00C50FC7" w:rsidRPr="00373163" w:rsidRDefault="00C50FC7" w:rsidP="00373163">
            <w:pPr>
              <w:jc w:val="both"/>
              <w:rPr>
                <w:rFonts w:ascii="Times" w:eastAsia="Times New Roman" w:hAnsi="Times" w:cs="Times New Roman"/>
                <w:color w:val="000000"/>
              </w:rPr>
            </w:pPr>
            <w:r w:rsidRPr="00373163">
              <w:rPr>
                <w:rFonts w:ascii="Times" w:hAnsi="Times" w:cs="Times New Roman"/>
              </w:rPr>
              <w:t>Unanimous Below</w:t>
            </w:r>
          </w:p>
        </w:tc>
        <w:tc>
          <w:tcPr>
            <w:tcW w:w="1034" w:type="dxa"/>
          </w:tcPr>
          <w:p w14:paraId="3497F1C1" w14:textId="77777777" w:rsidR="00C50FC7" w:rsidRPr="00373163" w:rsidRDefault="00C50FC7" w:rsidP="00373163">
            <w:pPr>
              <w:jc w:val="both"/>
              <w:rPr>
                <w:rFonts w:ascii="Times" w:hAnsi="Times" w:cs="Times New Roman"/>
              </w:rPr>
            </w:pPr>
            <w:r w:rsidRPr="00373163">
              <w:rPr>
                <w:rFonts w:ascii="Times" w:hAnsi="Times" w:cs="Times New Roman"/>
              </w:rPr>
              <w:t>-0.233*</w:t>
            </w:r>
          </w:p>
        </w:tc>
        <w:tc>
          <w:tcPr>
            <w:tcW w:w="991" w:type="dxa"/>
          </w:tcPr>
          <w:p w14:paraId="44223AC0" w14:textId="77777777" w:rsidR="00C50FC7" w:rsidRPr="00373163" w:rsidRDefault="00C50FC7" w:rsidP="0011496B">
            <w:pPr>
              <w:jc w:val="center"/>
              <w:rPr>
                <w:rFonts w:ascii="Times" w:hAnsi="Times" w:cs="Times New Roman"/>
              </w:rPr>
            </w:pPr>
            <w:r w:rsidRPr="00373163">
              <w:rPr>
                <w:rFonts w:ascii="Times" w:hAnsi="Times" w:cs="Times New Roman"/>
              </w:rPr>
              <w:t>(0.035)</w:t>
            </w:r>
          </w:p>
        </w:tc>
        <w:tc>
          <w:tcPr>
            <w:tcW w:w="236" w:type="dxa"/>
          </w:tcPr>
          <w:p w14:paraId="7034B615" w14:textId="77777777" w:rsidR="00C50FC7" w:rsidRPr="00373163" w:rsidRDefault="00C50FC7" w:rsidP="00373163">
            <w:pPr>
              <w:jc w:val="both"/>
              <w:rPr>
                <w:rFonts w:ascii="Times" w:hAnsi="Times" w:cs="Times New Roman"/>
              </w:rPr>
            </w:pPr>
          </w:p>
        </w:tc>
        <w:tc>
          <w:tcPr>
            <w:tcW w:w="1032" w:type="dxa"/>
          </w:tcPr>
          <w:p w14:paraId="313A37C5" w14:textId="77777777" w:rsidR="00C50FC7" w:rsidRPr="00373163" w:rsidRDefault="00C50FC7" w:rsidP="00C50FC7">
            <w:pPr>
              <w:jc w:val="both"/>
              <w:rPr>
                <w:rFonts w:ascii="Times" w:hAnsi="Times" w:cs="Times New Roman"/>
              </w:rPr>
            </w:pPr>
            <w:r w:rsidRPr="00373163">
              <w:rPr>
                <w:rFonts w:ascii="Times" w:hAnsi="Times" w:cs="Times New Roman"/>
              </w:rPr>
              <w:t>-0.219*</w:t>
            </w:r>
          </w:p>
        </w:tc>
        <w:tc>
          <w:tcPr>
            <w:tcW w:w="987" w:type="dxa"/>
          </w:tcPr>
          <w:p w14:paraId="217A4906" w14:textId="77777777" w:rsidR="00C50FC7" w:rsidRPr="00373163" w:rsidRDefault="00C50FC7" w:rsidP="0011496B">
            <w:pPr>
              <w:jc w:val="center"/>
              <w:rPr>
                <w:rFonts w:ascii="Times" w:hAnsi="Times" w:cs="Times New Roman"/>
              </w:rPr>
            </w:pPr>
            <w:r w:rsidRPr="00373163">
              <w:rPr>
                <w:rFonts w:ascii="Times" w:hAnsi="Times" w:cs="Times New Roman"/>
              </w:rPr>
              <w:t>(0.034)</w:t>
            </w:r>
          </w:p>
        </w:tc>
      </w:tr>
      <w:tr w:rsidR="00005C6E" w:rsidRPr="00373163" w14:paraId="6AD6F31A" w14:textId="77777777">
        <w:trPr>
          <w:jc w:val="center"/>
        </w:trPr>
        <w:tc>
          <w:tcPr>
            <w:tcW w:w="3170" w:type="dxa"/>
            <w:tcBorders>
              <w:bottom w:val="single" w:sz="4" w:space="0" w:color="auto"/>
            </w:tcBorders>
          </w:tcPr>
          <w:p w14:paraId="7F6C59E5" w14:textId="77777777" w:rsidR="00C50FC7" w:rsidRPr="00373163" w:rsidRDefault="00C50FC7" w:rsidP="00373163">
            <w:pPr>
              <w:jc w:val="both"/>
              <w:rPr>
                <w:rFonts w:ascii="Times" w:hAnsi="Times" w:cs="Times New Roman"/>
              </w:rPr>
            </w:pPr>
            <w:r w:rsidRPr="00373163">
              <w:rPr>
                <w:rFonts w:ascii="Times" w:hAnsi="Times" w:cs="Times New Roman"/>
              </w:rPr>
              <w:t>Intercept</w:t>
            </w:r>
          </w:p>
        </w:tc>
        <w:tc>
          <w:tcPr>
            <w:tcW w:w="1034" w:type="dxa"/>
            <w:tcBorders>
              <w:bottom w:val="single" w:sz="4" w:space="0" w:color="auto"/>
            </w:tcBorders>
          </w:tcPr>
          <w:p w14:paraId="7AC190A9" w14:textId="77777777" w:rsidR="00C50FC7" w:rsidRPr="00373163" w:rsidRDefault="00C50FC7" w:rsidP="00373163">
            <w:pPr>
              <w:jc w:val="both"/>
              <w:rPr>
                <w:rFonts w:ascii="Times" w:hAnsi="Times" w:cs="Times New Roman"/>
              </w:rPr>
            </w:pPr>
            <w:r w:rsidRPr="00373163">
              <w:rPr>
                <w:rFonts w:ascii="Times" w:hAnsi="Times" w:cs="Times New Roman"/>
              </w:rPr>
              <w:t xml:space="preserve"> 0.258*</w:t>
            </w:r>
          </w:p>
        </w:tc>
        <w:tc>
          <w:tcPr>
            <w:tcW w:w="991" w:type="dxa"/>
            <w:tcBorders>
              <w:bottom w:val="single" w:sz="4" w:space="0" w:color="auto"/>
            </w:tcBorders>
          </w:tcPr>
          <w:p w14:paraId="6ED7A7F1" w14:textId="77777777" w:rsidR="00C50FC7" w:rsidRPr="00373163" w:rsidRDefault="00C50FC7" w:rsidP="0011496B">
            <w:pPr>
              <w:jc w:val="center"/>
              <w:rPr>
                <w:rFonts w:ascii="Times" w:hAnsi="Times" w:cs="Times New Roman"/>
              </w:rPr>
            </w:pPr>
            <w:r w:rsidRPr="00373163">
              <w:rPr>
                <w:rFonts w:ascii="Times" w:hAnsi="Times" w:cs="Times New Roman"/>
              </w:rPr>
              <w:t>(0.091)</w:t>
            </w:r>
          </w:p>
        </w:tc>
        <w:tc>
          <w:tcPr>
            <w:tcW w:w="236" w:type="dxa"/>
            <w:tcBorders>
              <w:bottom w:val="single" w:sz="4" w:space="0" w:color="auto"/>
            </w:tcBorders>
          </w:tcPr>
          <w:p w14:paraId="6252AED3" w14:textId="77777777" w:rsidR="00C50FC7" w:rsidRPr="00373163" w:rsidRDefault="00C50FC7" w:rsidP="00373163">
            <w:pPr>
              <w:jc w:val="both"/>
              <w:rPr>
                <w:rFonts w:ascii="Times" w:hAnsi="Times" w:cs="Times New Roman"/>
              </w:rPr>
            </w:pPr>
          </w:p>
        </w:tc>
        <w:tc>
          <w:tcPr>
            <w:tcW w:w="1032" w:type="dxa"/>
            <w:tcBorders>
              <w:bottom w:val="single" w:sz="4" w:space="0" w:color="auto"/>
            </w:tcBorders>
          </w:tcPr>
          <w:p w14:paraId="1909D29C" w14:textId="77777777" w:rsidR="00C50FC7" w:rsidRPr="00373163" w:rsidRDefault="00C50FC7" w:rsidP="00C50FC7">
            <w:pPr>
              <w:jc w:val="both"/>
              <w:rPr>
                <w:rFonts w:ascii="Times" w:hAnsi="Times" w:cs="Times New Roman"/>
              </w:rPr>
            </w:pPr>
            <w:r w:rsidRPr="00373163">
              <w:rPr>
                <w:rFonts w:ascii="Times" w:hAnsi="Times" w:cs="Times New Roman"/>
              </w:rPr>
              <w:t xml:space="preserve"> 0.273*</w:t>
            </w:r>
          </w:p>
        </w:tc>
        <w:tc>
          <w:tcPr>
            <w:tcW w:w="987" w:type="dxa"/>
            <w:tcBorders>
              <w:bottom w:val="single" w:sz="4" w:space="0" w:color="auto"/>
            </w:tcBorders>
          </w:tcPr>
          <w:p w14:paraId="28E16B1D" w14:textId="77777777" w:rsidR="00C50FC7" w:rsidRPr="00373163" w:rsidRDefault="00C50FC7" w:rsidP="0011496B">
            <w:pPr>
              <w:jc w:val="center"/>
              <w:rPr>
                <w:rFonts w:ascii="Times" w:hAnsi="Times" w:cs="Times New Roman"/>
              </w:rPr>
            </w:pPr>
            <w:r w:rsidRPr="00373163">
              <w:rPr>
                <w:rFonts w:ascii="Times" w:hAnsi="Times" w:cs="Times New Roman"/>
              </w:rPr>
              <w:t>(0.090)</w:t>
            </w:r>
          </w:p>
        </w:tc>
      </w:tr>
      <w:tr w:rsidR="00005C6E" w:rsidRPr="00373163" w14:paraId="2BB09516" w14:textId="77777777">
        <w:trPr>
          <w:jc w:val="center"/>
        </w:trPr>
        <w:tc>
          <w:tcPr>
            <w:tcW w:w="3170" w:type="dxa"/>
            <w:tcBorders>
              <w:top w:val="single" w:sz="4" w:space="0" w:color="auto"/>
              <w:bottom w:val="single" w:sz="4" w:space="0" w:color="auto"/>
            </w:tcBorders>
          </w:tcPr>
          <w:p w14:paraId="533915CB" w14:textId="77777777" w:rsidR="0011496B" w:rsidRPr="00373163" w:rsidRDefault="0011496B" w:rsidP="00373163">
            <w:pPr>
              <w:jc w:val="both"/>
              <w:rPr>
                <w:rFonts w:ascii="Times" w:hAnsi="Times" w:cs="Times New Roman"/>
              </w:rPr>
            </w:pPr>
            <w:r w:rsidRPr="00373163">
              <w:rPr>
                <w:rFonts w:ascii="Times" w:hAnsi="Times" w:cs="Times New Roman"/>
                <w:b/>
              </w:rPr>
              <w:t>N</w:t>
            </w:r>
          </w:p>
        </w:tc>
        <w:tc>
          <w:tcPr>
            <w:tcW w:w="2025" w:type="dxa"/>
            <w:gridSpan w:val="2"/>
            <w:tcBorders>
              <w:top w:val="single" w:sz="4" w:space="0" w:color="auto"/>
              <w:bottom w:val="single" w:sz="4" w:space="0" w:color="auto"/>
            </w:tcBorders>
          </w:tcPr>
          <w:p w14:paraId="5005F592" w14:textId="77777777" w:rsidR="0011496B" w:rsidRPr="00373163" w:rsidRDefault="0011496B" w:rsidP="0011496B">
            <w:pPr>
              <w:jc w:val="center"/>
              <w:rPr>
                <w:rFonts w:ascii="Times" w:hAnsi="Times" w:cs="Times New Roman"/>
              </w:rPr>
            </w:pPr>
            <w:r w:rsidRPr="00141B41">
              <w:rPr>
                <w:rFonts w:ascii="Times New Roman" w:hAnsi="Times New Roman" w:cs="Times New Roman"/>
                <w:b/>
              </w:rPr>
              <w:t>6,025</w:t>
            </w:r>
          </w:p>
        </w:tc>
        <w:tc>
          <w:tcPr>
            <w:tcW w:w="236" w:type="dxa"/>
            <w:tcBorders>
              <w:top w:val="single" w:sz="4" w:space="0" w:color="auto"/>
              <w:bottom w:val="single" w:sz="4" w:space="0" w:color="auto"/>
            </w:tcBorders>
          </w:tcPr>
          <w:p w14:paraId="0FAAC04D" w14:textId="77777777" w:rsidR="0011496B" w:rsidRPr="00141B41" w:rsidRDefault="0011496B" w:rsidP="00373163">
            <w:pPr>
              <w:jc w:val="center"/>
              <w:rPr>
                <w:rFonts w:ascii="Times New Roman" w:hAnsi="Times New Roman" w:cs="Times New Roman"/>
                <w:b/>
              </w:rPr>
            </w:pPr>
          </w:p>
        </w:tc>
        <w:tc>
          <w:tcPr>
            <w:tcW w:w="2019" w:type="dxa"/>
            <w:gridSpan w:val="2"/>
            <w:tcBorders>
              <w:top w:val="single" w:sz="4" w:space="0" w:color="auto"/>
              <w:bottom w:val="single" w:sz="4" w:space="0" w:color="auto"/>
            </w:tcBorders>
          </w:tcPr>
          <w:p w14:paraId="24A010C8" w14:textId="77777777" w:rsidR="0011496B" w:rsidRPr="00141B41" w:rsidRDefault="0011496B" w:rsidP="0011496B">
            <w:pPr>
              <w:jc w:val="center"/>
              <w:rPr>
                <w:rFonts w:ascii="Times New Roman" w:hAnsi="Times New Roman" w:cs="Times New Roman"/>
                <w:b/>
              </w:rPr>
            </w:pPr>
            <w:r w:rsidRPr="00141B41">
              <w:rPr>
                <w:rFonts w:ascii="Times New Roman" w:hAnsi="Times New Roman" w:cs="Times New Roman"/>
                <w:b/>
              </w:rPr>
              <w:t>6,025</w:t>
            </w:r>
          </w:p>
        </w:tc>
      </w:tr>
    </w:tbl>
    <w:p w14:paraId="30542AF6" w14:textId="77777777" w:rsidR="007A24C4" w:rsidRPr="00373163" w:rsidRDefault="007A24C4" w:rsidP="00373163">
      <w:pPr>
        <w:jc w:val="both"/>
        <w:rPr>
          <w:rFonts w:ascii="Times" w:hAnsi="Times" w:cs="Times New Roman"/>
        </w:rPr>
      </w:pPr>
    </w:p>
    <w:p w14:paraId="2800DB29" w14:textId="77777777" w:rsidR="007A24C4" w:rsidRPr="00373163" w:rsidRDefault="007A24C4" w:rsidP="00373163">
      <w:pPr>
        <w:jc w:val="both"/>
        <w:rPr>
          <w:rFonts w:ascii="Times" w:hAnsi="Times" w:cs="Times New Roman"/>
        </w:rPr>
      </w:pPr>
      <w:r w:rsidRPr="00373163">
        <w:rPr>
          <w:rFonts w:ascii="Times" w:hAnsi="Times" w:cs="Times New Roman"/>
        </w:rPr>
        <w:t>Table</w:t>
      </w:r>
      <w:r w:rsidR="00373163">
        <w:rPr>
          <w:rFonts w:ascii="Times" w:hAnsi="Times" w:cs="Times New Roman"/>
        </w:rPr>
        <w:t xml:space="preserve"> 2</w:t>
      </w:r>
      <w:r w:rsidRPr="00373163">
        <w:rPr>
          <w:rFonts w:ascii="Times" w:hAnsi="Times" w:cs="Times New Roman"/>
        </w:rPr>
        <w:t xml:space="preserve">: </w:t>
      </w:r>
      <w:proofErr w:type="spellStart"/>
      <w:r w:rsidRPr="00373163">
        <w:rPr>
          <w:rFonts w:ascii="Times" w:hAnsi="Times" w:cs="Times New Roman"/>
        </w:rPr>
        <w:t>Probit</w:t>
      </w:r>
      <w:proofErr w:type="spellEnd"/>
      <w:r w:rsidRPr="00373163">
        <w:rPr>
          <w:rFonts w:ascii="Times" w:hAnsi="Times" w:cs="Times New Roman"/>
        </w:rPr>
        <w:t xml:space="preserve"> model results with fixed effects for term and justice (not shown).  * indicates a p-value &lt; .05.</w:t>
      </w:r>
    </w:p>
    <w:p w14:paraId="43E48BC9" w14:textId="77777777" w:rsidR="00D96959" w:rsidRPr="00373163" w:rsidRDefault="00D96959" w:rsidP="00373163">
      <w:pPr>
        <w:jc w:val="both"/>
        <w:rPr>
          <w:rFonts w:ascii="Times" w:hAnsi="Times" w:cs="Times New Roman"/>
        </w:rPr>
      </w:pPr>
    </w:p>
    <w:p w14:paraId="31D37A55" w14:textId="77777777" w:rsidR="005043EB" w:rsidRDefault="00774678" w:rsidP="00373163">
      <w:pPr>
        <w:ind w:firstLine="720"/>
        <w:jc w:val="both"/>
        <w:rPr>
          <w:rFonts w:ascii="Times" w:hAnsi="Times" w:cs="Times New Roman"/>
        </w:rPr>
      </w:pPr>
      <w:r w:rsidRPr="00373163">
        <w:rPr>
          <w:rFonts w:ascii="Times" w:hAnsi="Times" w:cs="Times New Roman"/>
        </w:rPr>
        <w:t xml:space="preserve">Our findings </w:t>
      </w:r>
      <w:r w:rsidR="00B2261B" w:rsidRPr="00373163">
        <w:rPr>
          <w:rFonts w:ascii="Times" w:hAnsi="Times" w:cs="Times New Roman"/>
        </w:rPr>
        <w:t>do not necessarily turn the conventional wisdom on its head</w:t>
      </w:r>
      <w:r w:rsidR="00635E21">
        <w:rPr>
          <w:rFonts w:ascii="Times" w:hAnsi="Times" w:cs="Times New Roman"/>
        </w:rPr>
        <w:t>;</w:t>
      </w:r>
      <w:r w:rsidR="00B2261B" w:rsidRPr="00373163">
        <w:rPr>
          <w:rFonts w:ascii="Times" w:hAnsi="Times" w:cs="Times New Roman"/>
        </w:rPr>
        <w:t xml:space="preserve"> they simply offer more nuanced insight into </w:t>
      </w:r>
      <w:r w:rsidR="00B2261B" w:rsidRPr="00373163">
        <w:rPr>
          <w:rFonts w:ascii="Times" w:hAnsi="Times" w:cs="Times New Roman"/>
          <w:i/>
        </w:rPr>
        <w:t>why</w:t>
      </w:r>
      <w:r w:rsidR="00B2261B" w:rsidRPr="00373163">
        <w:rPr>
          <w:rFonts w:ascii="Times" w:hAnsi="Times" w:cs="Times New Roman"/>
        </w:rPr>
        <w:t xml:space="preserve"> a greater number of briefs appears to translate into greater success.  The side with more bri</w:t>
      </w:r>
      <w:r w:rsidRPr="00373163">
        <w:rPr>
          <w:rFonts w:ascii="Times" w:hAnsi="Times" w:cs="Times New Roman"/>
        </w:rPr>
        <w:t>efs is often presenting more</w:t>
      </w:r>
      <w:r w:rsidR="00B2261B" w:rsidRPr="00373163">
        <w:rPr>
          <w:rFonts w:ascii="Times" w:hAnsi="Times" w:cs="Times New Roman"/>
        </w:rPr>
        <w:t xml:space="preserve"> information to the Court.  However, the advantage is </w:t>
      </w:r>
      <w:r w:rsidR="00180DAF" w:rsidRPr="00373163">
        <w:rPr>
          <w:rFonts w:ascii="Times" w:hAnsi="Times" w:cs="Times New Roman"/>
        </w:rPr>
        <w:t xml:space="preserve">evidently </w:t>
      </w:r>
      <w:r w:rsidR="00B2261B" w:rsidRPr="00373163">
        <w:rPr>
          <w:rFonts w:ascii="Times" w:hAnsi="Times" w:cs="Times New Roman"/>
        </w:rPr>
        <w:t>driven by the overall quantity of information rather than the raw number of briefs presented.  In fact, in a case where the two sides submit briefing of the same length and with the same number of citations, the side that manages t</w:t>
      </w:r>
      <w:r w:rsidR="00180DAF" w:rsidRPr="00373163">
        <w:rPr>
          <w:rFonts w:ascii="Times" w:hAnsi="Times" w:cs="Times New Roman"/>
        </w:rPr>
        <w:t>o do so in fewer briefs</w:t>
      </w:r>
      <w:r w:rsidR="00B2261B" w:rsidRPr="00373163">
        <w:rPr>
          <w:rFonts w:ascii="Times" w:hAnsi="Times" w:cs="Times New Roman"/>
        </w:rPr>
        <w:t xml:space="preserve"> has the advantage.  </w:t>
      </w:r>
      <w:r w:rsidR="00180DAF" w:rsidRPr="00373163">
        <w:rPr>
          <w:rFonts w:ascii="Times" w:hAnsi="Times" w:cs="Times New Roman"/>
        </w:rPr>
        <w:t xml:space="preserve">Figure 1 provides an illustration of how </w:t>
      </w:r>
      <w:r w:rsidR="007A11C9" w:rsidRPr="00373163">
        <w:rPr>
          <w:rFonts w:ascii="Times" w:hAnsi="Times" w:cs="Times New Roman"/>
        </w:rPr>
        <w:t xml:space="preserve">the </w:t>
      </w:r>
      <w:r w:rsidR="00180DAF" w:rsidRPr="00373163">
        <w:rPr>
          <w:rFonts w:ascii="Times" w:hAnsi="Times" w:cs="Times New Roman"/>
        </w:rPr>
        <w:t xml:space="preserve">number of briefs and total information work together by </w:t>
      </w:r>
      <w:r w:rsidR="00B2261B" w:rsidRPr="00373163">
        <w:rPr>
          <w:rFonts w:ascii="Times" w:hAnsi="Times" w:cs="Times New Roman"/>
        </w:rPr>
        <w:t>showing the predicted probability of a vote for the petitioner over the range of possible values for the petitioner</w:t>
      </w:r>
      <w:r w:rsidRPr="00373163">
        <w:rPr>
          <w:rFonts w:ascii="Times" w:hAnsi="Times" w:cs="Times New Roman"/>
        </w:rPr>
        <w:t>’</w:t>
      </w:r>
      <w:r w:rsidR="00B2261B" w:rsidRPr="00373163">
        <w:rPr>
          <w:rFonts w:ascii="Times" w:hAnsi="Times" w:cs="Times New Roman"/>
        </w:rPr>
        <w:t>s numerical advantage (or lack thereof) in terms of both the number of brief</w:t>
      </w:r>
      <w:r w:rsidRPr="00373163">
        <w:rPr>
          <w:rFonts w:ascii="Times" w:hAnsi="Times" w:cs="Times New Roman"/>
        </w:rPr>
        <w:t>s</w:t>
      </w:r>
      <w:r w:rsidR="00B2261B" w:rsidRPr="00373163">
        <w:rPr>
          <w:rFonts w:ascii="Times" w:hAnsi="Times" w:cs="Times New Roman"/>
        </w:rPr>
        <w:t xml:space="preserve"> and </w:t>
      </w:r>
      <w:r w:rsidRPr="00373163">
        <w:rPr>
          <w:rFonts w:ascii="Times" w:hAnsi="Times" w:cs="Times New Roman"/>
        </w:rPr>
        <w:t>total</w:t>
      </w:r>
      <w:r w:rsidR="00B2261B" w:rsidRPr="00373163">
        <w:rPr>
          <w:rFonts w:ascii="Times" w:hAnsi="Times" w:cs="Times New Roman"/>
        </w:rPr>
        <w:t xml:space="preserve"> </w:t>
      </w:r>
      <w:r w:rsidR="00180DAF" w:rsidRPr="00373163">
        <w:rPr>
          <w:rFonts w:ascii="Times" w:hAnsi="Times" w:cs="Times New Roman"/>
        </w:rPr>
        <w:t xml:space="preserve">citations </w:t>
      </w:r>
      <w:r w:rsidRPr="00373163">
        <w:rPr>
          <w:rFonts w:ascii="Times" w:hAnsi="Times" w:cs="Times New Roman"/>
        </w:rPr>
        <w:t xml:space="preserve">in turn </w:t>
      </w:r>
      <w:r w:rsidR="00180DAF" w:rsidRPr="00373163">
        <w:rPr>
          <w:rFonts w:ascii="Times" w:hAnsi="Times" w:cs="Times New Roman"/>
        </w:rPr>
        <w:t>while h</w:t>
      </w:r>
      <w:r w:rsidRPr="00373163">
        <w:rPr>
          <w:rFonts w:ascii="Times" w:hAnsi="Times" w:cs="Times New Roman"/>
        </w:rPr>
        <w:t>olding the other variable at it</w:t>
      </w:r>
      <w:r w:rsidR="00180DAF" w:rsidRPr="00373163">
        <w:rPr>
          <w:rFonts w:ascii="Times" w:hAnsi="Times" w:cs="Times New Roman"/>
        </w:rPr>
        <w:t>s mini</w:t>
      </w:r>
      <w:r w:rsidRPr="00373163">
        <w:rPr>
          <w:rFonts w:ascii="Times" w:hAnsi="Times" w:cs="Times New Roman"/>
        </w:rPr>
        <w:t>mum, median, and maximum</w:t>
      </w:r>
      <w:r w:rsidR="00E35124" w:rsidRPr="00373163">
        <w:rPr>
          <w:rFonts w:ascii="Times" w:hAnsi="Times" w:cs="Times New Roman"/>
        </w:rPr>
        <w:t xml:space="preserve">.  </w:t>
      </w:r>
      <w:r w:rsidR="007A11C9" w:rsidRPr="00373163">
        <w:rPr>
          <w:rFonts w:ascii="Times" w:hAnsi="Times" w:cs="Times New Roman"/>
        </w:rPr>
        <w:t>For example, when a petitioner has the maximum advantage in terms of total citations to Supreme Court precedent, the predicted probability of securing a vote is quite high no matter where the differential in the number of briefs lies.</w:t>
      </w:r>
    </w:p>
    <w:p w14:paraId="1908E054" w14:textId="77777777" w:rsidR="00D96959" w:rsidRPr="00373163" w:rsidRDefault="00D96959" w:rsidP="00373163">
      <w:pPr>
        <w:ind w:firstLine="720"/>
        <w:jc w:val="both"/>
        <w:rPr>
          <w:rFonts w:ascii="Times" w:hAnsi="Times" w:cs="Times New Roman"/>
        </w:rPr>
      </w:pPr>
    </w:p>
    <w:p w14:paraId="0492BB01" w14:textId="10403907" w:rsidR="005043EB" w:rsidRPr="00373163" w:rsidRDefault="006070AC" w:rsidP="00373163">
      <w:pPr>
        <w:jc w:val="both"/>
        <w:rPr>
          <w:rFonts w:ascii="Times" w:hAnsi="Times" w:cs="Times New Roman"/>
        </w:rPr>
      </w:pPr>
      <w:r w:rsidRPr="003C3D24">
        <w:rPr>
          <w:rFonts w:ascii="Times" w:hAnsi="Times" w:cs="Times New Roman"/>
          <w:noProof/>
        </w:rPr>
        <w:drawing>
          <wp:inline distT="0" distB="0" distL="0" distR="0" wp14:anchorId="484B9039" wp14:editId="15E8BA65">
            <wp:extent cx="4663440" cy="2331720"/>
            <wp:effectExtent l="25400" t="0" r="0" b="0"/>
            <wp:docPr id="2" name="Picture 1" descr="RobertsPaperNarrow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sPaperNarrow2.pdf"/>
                    <pic:cNvPicPr/>
                  </pic:nvPicPr>
                  <pic:blipFill>
                    <a:blip r:embed="rId9"/>
                    <a:stretch>
                      <a:fillRect/>
                    </a:stretch>
                  </pic:blipFill>
                  <pic:spPr>
                    <a:xfrm>
                      <a:off x="0" y="0"/>
                      <a:ext cx="4663440" cy="2331720"/>
                    </a:xfrm>
                    <a:prstGeom prst="rect">
                      <a:avLst/>
                    </a:prstGeom>
                  </pic:spPr>
                </pic:pic>
              </a:graphicData>
            </a:graphic>
          </wp:inline>
        </w:drawing>
      </w:r>
    </w:p>
    <w:p w14:paraId="0C1CC998" w14:textId="77777777" w:rsidR="00373163" w:rsidRDefault="00373163" w:rsidP="00373163">
      <w:pPr>
        <w:jc w:val="both"/>
        <w:rPr>
          <w:rFonts w:ascii="Times" w:hAnsi="Times" w:cs="Times New Roman"/>
        </w:rPr>
      </w:pPr>
    </w:p>
    <w:p w14:paraId="476E707C" w14:textId="77777777" w:rsidR="000D0F14" w:rsidRPr="00F5105A" w:rsidRDefault="002E26C0" w:rsidP="00F5105A">
      <w:pPr>
        <w:rPr>
          <w:rFonts w:ascii="Times New Roman" w:eastAsia="Times New Roman" w:hAnsi="Times New Roman" w:cs="Times New Roman"/>
        </w:rPr>
      </w:pPr>
      <w:r w:rsidRPr="00373163">
        <w:rPr>
          <w:rFonts w:ascii="Times" w:hAnsi="Times" w:cs="Times New Roman"/>
        </w:rPr>
        <w:t xml:space="preserve">Figure 1: Predicted probabilities of a vote for the petitioner across the range of </w:t>
      </w:r>
      <w:r w:rsidRPr="00373163">
        <w:rPr>
          <w:rFonts w:ascii="Times" w:hAnsi="Times" w:cs="Times New Roman"/>
          <w:i/>
        </w:rPr>
        <w:t xml:space="preserve">Difference in # of Briefs </w:t>
      </w:r>
      <w:r w:rsidRPr="00373163">
        <w:rPr>
          <w:rFonts w:ascii="Times" w:hAnsi="Times" w:cs="Times New Roman"/>
        </w:rPr>
        <w:t xml:space="preserve">(left panel) and </w:t>
      </w:r>
      <w:r w:rsidRPr="00373163">
        <w:rPr>
          <w:rFonts w:ascii="Times" w:hAnsi="Times" w:cs="Times New Roman"/>
          <w:i/>
        </w:rPr>
        <w:t xml:space="preserve">Difference in Total </w:t>
      </w:r>
      <w:proofErr w:type="spellStart"/>
      <w:r w:rsidRPr="00373163">
        <w:rPr>
          <w:rFonts w:ascii="Times" w:hAnsi="Times" w:cs="Times New Roman"/>
          <w:i/>
        </w:rPr>
        <w:t>S.Ct</w:t>
      </w:r>
      <w:proofErr w:type="spellEnd"/>
      <w:r w:rsidRPr="00373163">
        <w:rPr>
          <w:rFonts w:ascii="Times" w:hAnsi="Times" w:cs="Times New Roman"/>
          <w:i/>
        </w:rPr>
        <w:t xml:space="preserve">. Citations </w:t>
      </w:r>
      <w:r w:rsidRPr="00373163">
        <w:rPr>
          <w:rFonts w:ascii="Times" w:hAnsi="Times" w:cs="Times New Roman"/>
        </w:rPr>
        <w:t xml:space="preserve">(right panel) when holding the other at its </w:t>
      </w:r>
      <w:r w:rsidR="00F5105A" w:rsidRPr="00F5105A">
        <w:rPr>
          <w:rFonts w:ascii="Times New Roman" w:eastAsia="Times New Roman" w:hAnsi="Times New Roman" w:cs="Times New Roman"/>
          <w:color w:val="000000"/>
          <w:shd w:val="clear" w:color="auto" w:fill="FFFFFF"/>
        </w:rPr>
        <w:t>minimum (dashed line), median (solid line), and maximum value (dotted line) in turn.</w:t>
      </w:r>
      <w:r w:rsidR="00F5105A">
        <w:rPr>
          <w:rFonts w:ascii="Times New Roman" w:eastAsia="Times New Roman" w:hAnsi="Times New Roman" w:cs="Times New Roman"/>
        </w:rPr>
        <w:t xml:space="preserve"> </w:t>
      </w:r>
      <w:r w:rsidRPr="00373163">
        <w:rPr>
          <w:rFonts w:ascii="Times" w:hAnsi="Times" w:cs="Times New Roman"/>
        </w:rPr>
        <w:t>All remaining variable</w:t>
      </w:r>
      <w:r w:rsidR="0074521B">
        <w:rPr>
          <w:rFonts w:ascii="Times" w:hAnsi="Times" w:cs="Times New Roman"/>
        </w:rPr>
        <w:t>s are held at their median</w:t>
      </w:r>
      <w:r w:rsidRPr="00373163">
        <w:rPr>
          <w:rFonts w:ascii="Times" w:hAnsi="Times" w:cs="Times New Roman"/>
        </w:rPr>
        <w:t>.</w:t>
      </w:r>
      <w:r w:rsidR="00373163" w:rsidRPr="00373163">
        <w:rPr>
          <w:rFonts w:ascii="Times" w:hAnsi="Times"/>
        </w:rPr>
        <w:t xml:space="preserve"> </w:t>
      </w:r>
    </w:p>
    <w:p w14:paraId="72DE1B96" w14:textId="77777777" w:rsidR="00D96959" w:rsidRPr="00373163" w:rsidRDefault="00D96959" w:rsidP="00373163">
      <w:pPr>
        <w:jc w:val="both"/>
        <w:rPr>
          <w:rFonts w:ascii="Times" w:hAnsi="Times" w:cs="Times New Roman"/>
        </w:rPr>
      </w:pPr>
    </w:p>
    <w:p w14:paraId="4DD541D4" w14:textId="77777777" w:rsidR="005043EB" w:rsidRPr="00373163" w:rsidRDefault="00395047" w:rsidP="00373163">
      <w:pPr>
        <w:ind w:firstLine="720"/>
        <w:jc w:val="both"/>
        <w:rPr>
          <w:rFonts w:ascii="Times" w:hAnsi="Times" w:cs="Times New Roman"/>
        </w:rPr>
      </w:pPr>
      <w:r w:rsidRPr="00373163">
        <w:rPr>
          <w:rFonts w:ascii="Times" w:hAnsi="Times" w:cs="Times New Roman"/>
        </w:rPr>
        <w:t>The remaining variables perform la</w:t>
      </w:r>
      <w:r w:rsidR="00774678" w:rsidRPr="00373163">
        <w:rPr>
          <w:rFonts w:ascii="Times" w:hAnsi="Times" w:cs="Times New Roman"/>
        </w:rPr>
        <w:t>rgely as expected, and they</w:t>
      </w:r>
      <w:r w:rsidRPr="00373163">
        <w:rPr>
          <w:rFonts w:ascii="Times" w:hAnsi="Times" w:cs="Times New Roman"/>
        </w:rPr>
        <w:t xml:space="preserve"> have quite similar effects across the two models.  The presence of the Solicitor General arguing on behalf of the petitioner does not have a statistically significant effect, while the Solicitor General arguing on behalf of the respondent does result in the expected significant reduction in the probability a justice votes for the petitioner.   Unsurprisingly, justices who are more closely aligned with the petitioner ideologically are more likely to vote for the petitioner.</w:t>
      </w:r>
      <w:r w:rsidR="00AC55BC" w:rsidRPr="00373163">
        <w:rPr>
          <w:rFonts w:ascii="Times" w:hAnsi="Times" w:cs="Times New Roman"/>
        </w:rPr>
        <w:t xml:space="preserve">  Finally, the petitioner faces more difficulty in obtaining votes at the Supreme Court level when all judges who heard the case in the lower courts unanimously ruled against the petitioner.</w:t>
      </w:r>
    </w:p>
    <w:p w14:paraId="094B3112" w14:textId="77777777" w:rsidR="002E26C0" w:rsidRPr="00373163" w:rsidRDefault="002E26C0" w:rsidP="00373163">
      <w:pPr>
        <w:jc w:val="both"/>
        <w:rPr>
          <w:rFonts w:ascii="Times" w:hAnsi="Times" w:cs="Times New Roman"/>
        </w:rPr>
      </w:pPr>
    </w:p>
    <w:p w14:paraId="24A624DB" w14:textId="77777777" w:rsidR="00373163" w:rsidRDefault="00373163" w:rsidP="00373163">
      <w:pPr>
        <w:pStyle w:val="ListParagraph"/>
        <w:numPr>
          <w:ilvl w:val="0"/>
          <w:numId w:val="7"/>
        </w:numPr>
        <w:jc w:val="center"/>
        <w:rPr>
          <w:rFonts w:ascii="Times" w:hAnsi="Times" w:cs="Times New Roman"/>
          <w:smallCaps/>
        </w:rPr>
      </w:pPr>
      <w:r>
        <w:rPr>
          <w:rFonts w:ascii="Times" w:hAnsi="Times" w:cs="Times New Roman"/>
          <w:smallCaps/>
        </w:rPr>
        <w:t>Conclusions</w:t>
      </w:r>
    </w:p>
    <w:p w14:paraId="14E0AA92" w14:textId="77777777" w:rsidR="0074521B" w:rsidRPr="00373163" w:rsidRDefault="0074521B" w:rsidP="0074521B">
      <w:pPr>
        <w:pStyle w:val="ListParagraph"/>
        <w:rPr>
          <w:rFonts w:ascii="Times" w:hAnsi="Times" w:cs="Times New Roman"/>
          <w:smallCaps/>
        </w:rPr>
      </w:pPr>
    </w:p>
    <w:p w14:paraId="09FC61AF" w14:textId="77777777" w:rsidR="00495A0F" w:rsidRDefault="00954245" w:rsidP="00954245">
      <w:pPr>
        <w:ind w:firstLine="360"/>
        <w:jc w:val="both"/>
        <w:rPr>
          <w:rFonts w:ascii="Times" w:hAnsi="Times" w:cs="Times New Roman"/>
        </w:rPr>
      </w:pPr>
      <w:r>
        <w:rPr>
          <w:rFonts w:ascii="Times" w:hAnsi="Times" w:cs="Times New Roman"/>
        </w:rPr>
        <w:t xml:space="preserve">The literature examining the relationship between briefs and the justices’ votes argues </w:t>
      </w:r>
      <w:r w:rsidR="00635E21">
        <w:rPr>
          <w:rFonts w:ascii="Times" w:hAnsi="Times" w:cs="Times New Roman"/>
        </w:rPr>
        <w:t>that briefs</w:t>
      </w:r>
      <w:r>
        <w:rPr>
          <w:rFonts w:ascii="Times" w:hAnsi="Times" w:cs="Times New Roman"/>
        </w:rPr>
        <w:t xml:space="preserve"> matter because they provide information the justices find useful when deciding cases.  The empirical evidence to date demonstrates a modest relationship between the number of briefs supporting a litigant and the probability that </w:t>
      </w:r>
      <w:r w:rsidR="00495A0F">
        <w:rPr>
          <w:rFonts w:ascii="Times" w:hAnsi="Times" w:cs="Times New Roman"/>
        </w:rPr>
        <w:t xml:space="preserve">the </w:t>
      </w:r>
      <w:r>
        <w:rPr>
          <w:rFonts w:ascii="Times" w:hAnsi="Times" w:cs="Times New Roman"/>
        </w:rPr>
        <w:t xml:space="preserve">litigant prevails on the merits.  </w:t>
      </w:r>
      <w:r w:rsidR="00495A0F">
        <w:rPr>
          <w:rFonts w:ascii="Times" w:hAnsi="Times" w:cs="Times New Roman"/>
        </w:rPr>
        <w:t>Missing, though, were</w:t>
      </w:r>
      <w:r>
        <w:rPr>
          <w:rFonts w:ascii="Times" w:hAnsi="Times" w:cs="Times New Roman"/>
        </w:rPr>
        <w:t xml:space="preserve"> analyses that probe directly the effectiveness of the actual information contained in the briefs, rather than the</w:t>
      </w:r>
      <w:r w:rsidR="001D1851">
        <w:rPr>
          <w:rFonts w:ascii="Times" w:hAnsi="Times" w:cs="Times New Roman"/>
        </w:rPr>
        <w:t>ir mere presence</w:t>
      </w:r>
      <w:r>
        <w:rPr>
          <w:rFonts w:ascii="Times" w:hAnsi="Times" w:cs="Times New Roman"/>
        </w:rPr>
        <w:t xml:space="preserve">.  </w:t>
      </w:r>
    </w:p>
    <w:p w14:paraId="323C245B" w14:textId="77777777" w:rsidR="00A2212F" w:rsidRPr="001F0A29" w:rsidRDefault="00495A0F" w:rsidP="00A15372">
      <w:pPr>
        <w:ind w:firstLine="360"/>
        <w:jc w:val="both"/>
        <w:rPr>
          <w:rFonts w:ascii="Times" w:hAnsi="Times" w:cs="Times New Roman"/>
        </w:rPr>
      </w:pPr>
      <w:r>
        <w:rPr>
          <w:rFonts w:ascii="Times" w:hAnsi="Times" w:cs="Times New Roman"/>
        </w:rPr>
        <w:lastRenderedPageBreak/>
        <w:t xml:space="preserve">We tried to fill this gap. </w:t>
      </w:r>
      <w:r w:rsidR="00737445">
        <w:rPr>
          <w:rFonts w:ascii="Times" w:hAnsi="Times" w:cs="Times New Roman"/>
        </w:rPr>
        <w:t xml:space="preserve">Our results show </w:t>
      </w:r>
      <w:r w:rsidR="00A15372">
        <w:rPr>
          <w:rFonts w:ascii="Times" w:hAnsi="Times" w:cs="Times New Roman"/>
        </w:rPr>
        <w:t>that the more</w:t>
      </w:r>
      <w:r w:rsidR="00737445">
        <w:rPr>
          <w:rFonts w:ascii="Times" w:hAnsi="Times" w:cs="Times New Roman"/>
        </w:rPr>
        <w:t xml:space="preserve"> information presented </w:t>
      </w:r>
      <w:r w:rsidR="00A15372">
        <w:rPr>
          <w:rFonts w:ascii="Times" w:hAnsi="Times" w:cs="Times New Roman"/>
        </w:rPr>
        <w:t xml:space="preserve">in </w:t>
      </w:r>
      <w:r w:rsidR="00737445">
        <w:rPr>
          <w:rFonts w:ascii="Times" w:hAnsi="Times" w:cs="Times New Roman"/>
        </w:rPr>
        <w:t>the briefs</w:t>
      </w:r>
      <w:r w:rsidR="00A15372">
        <w:rPr>
          <w:rFonts w:ascii="Times" w:hAnsi="Times" w:cs="Times New Roman"/>
        </w:rPr>
        <w:t>—</w:t>
      </w:r>
      <w:r w:rsidR="00737445">
        <w:rPr>
          <w:rFonts w:ascii="Times" w:hAnsi="Times" w:cs="Times New Roman"/>
        </w:rPr>
        <w:t>both in terms of words and citations</w:t>
      </w:r>
      <w:r w:rsidR="00A15372">
        <w:rPr>
          <w:rFonts w:ascii="Times" w:hAnsi="Times" w:cs="Times New Roman"/>
        </w:rPr>
        <w:t>—</w:t>
      </w:r>
      <w:r w:rsidR="00737445">
        <w:rPr>
          <w:rFonts w:ascii="Times" w:hAnsi="Times" w:cs="Times New Roman"/>
        </w:rPr>
        <w:t xml:space="preserve">the more likely a justice is to vote for that side of the case.  This result, importantly, withstands the presence of numerous controls, including a variable for the number of briefs supporting each side. As a result, we conclude the underlying mechanism connecting briefs and the justices’ votes is the information contained in the briefs rather than the mere presence of the briefs.  This is an important result, as it is the first time a study demonstrates a direct connection between the actual content of briefs and the justices’ votes on the merits.     </w:t>
      </w:r>
    </w:p>
    <w:sectPr w:rsidR="00A2212F" w:rsidRPr="001F0A29" w:rsidSect="00373163">
      <w:footerReference w:type="default" r:id="rId10"/>
      <w:pgSz w:w="12240" w:h="15840"/>
      <w:pgMar w:top="2016" w:right="2448" w:bottom="2016" w:left="2448"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A1DF7" w14:textId="77777777" w:rsidR="002023B7" w:rsidRDefault="002023B7" w:rsidP="007C54A9">
      <w:r>
        <w:separator/>
      </w:r>
    </w:p>
  </w:endnote>
  <w:endnote w:type="continuationSeparator" w:id="0">
    <w:p w14:paraId="64B76FD7" w14:textId="77777777" w:rsidR="002023B7" w:rsidRDefault="002023B7" w:rsidP="007C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ê‡Òø3≥#5'38ø£q÷B">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66A44" w14:textId="77777777" w:rsidR="004C4EC2" w:rsidRDefault="004C4EC2">
    <w:pPr>
      <w:pStyle w:val="Footer"/>
      <w:rPr>
        <w:rStyle w:val="PageNumber"/>
      </w:rPr>
    </w:pPr>
  </w:p>
  <w:p w14:paraId="6917A198" w14:textId="77777777" w:rsidR="004C4EC2" w:rsidRPr="00594FF7" w:rsidRDefault="004C4EC2">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FA0CC" w14:textId="77777777" w:rsidR="002023B7" w:rsidRDefault="002023B7" w:rsidP="007C54A9">
      <w:r>
        <w:separator/>
      </w:r>
    </w:p>
  </w:footnote>
  <w:footnote w:type="continuationSeparator" w:id="0">
    <w:p w14:paraId="2FCFC76C" w14:textId="77777777" w:rsidR="002023B7" w:rsidRDefault="002023B7" w:rsidP="007C54A9">
      <w:r>
        <w:continuationSeparator/>
      </w:r>
    </w:p>
  </w:footnote>
  <w:footnote w:id="1">
    <w:p w14:paraId="42C49B4B" w14:textId="77777777" w:rsidR="004C4EC2" w:rsidRPr="007E0CB4" w:rsidRDefault="004C4EC2">
      <w:pPr>
        <w:pStyle w:val="FootnoteText"/>
        <w:rPr>
          <w:rFonts w:ascii="Times" w:hAnsi="Times" w:cs="Times New Roman"/>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 xml:space="preserve"> Assistant Professor, Saint Louis University Department of Political and School of Law (by courtesy).</w:t>
      </w:r>
    </w:p>
  </w:footnote>
  <w:footnote w:id="2">
    <w:p w14:paraId="0B865FDF" w14:textId="77777777" w:rsidR="004C4EC2" w:rsidRPr="007E0CB4" w:rsidRDefault="004C4EC2">
      <w:pPr>
        <w:pStyle w:val="FootnoteText"/>
        <w:rPr>
          <w:rFonts w:ascii="Times" w:hAnsi="Times" w:cs="Times New Roman"/>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 xml:space="preserve"> Assistant Professor, University at Buffalo, SUNY.</w:t>
      </w:r>
    </w:p>
  </w:footnote>
  <w:footnote w:id="3">
    <w:p w14:paraId="3D189666" w14:textId="77777777" w:rsidR="004C4EC2" w:rsidRPr="007E0CB4" w:rsidRDefault="004C4EC2">
      <w:pPr>
        <w:pStyle w:val="FootnoteText"/>
        <w:rPr>
          <w:rFonts w:ascii="Times" w:hAnsi="Times"/>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 xml:space="preserve"> Sidney W. </w:t>
      </w:r>
      <w:proofErr w:type="spellStart"/>
      <w:r w:rsidRPr="007E0CB4">
        <w:rPr>
          <w:rFonts w:ascii="Times" w:hAnsi="Times" w:cs="Times New Roman"/>
          <w:sz w:val="20"/>
          <w:szCs w:val="20"/>
        </w:rPr>
        <w:t>Souers</w:t>
      </w:r>
      <w:proofErr w:type="spellEnd"/>
      <w:r w:rsidRPr="007E0CB4">
        <w:rPr>
          <w:rFonts w:ascii="Times" w:hAnsi="Times" w:cs="Times New Roman"/>
          <w:sz w:val="20"/>
          <w:szCs w:val="20"/>
        </w:rPr>
        <w:t xml:space="preserve"> Professor of Government and Chair of the Department of Political Science, Washington University in St. Louis. </w:t>
      </w:r>
    </w:p>
  </w:footnote>
  <w:footnote w:id="4">
    <w:p w14:paraId="734E9D38" w14:textId="77777777" w:rsidR="004C4EC2" w:rsidRDefault="004C4EC2" w:rsidP="00FC77B1">
      <w:pPr>
        <w:pStyle w:val="FootnoteText"/>
        <w:rPr>
          <w:rFonts w:ascii="Times" w:hAnsi="Times" w:cs="Times New Roman"/>
          <w:sz w:val="20"/>
          <w:szCs w:val="20"/>
        </w:rPr>
      </w:pPr>
      <w:r w:rsidRPr="007E0CB4">
        <w:rPr>
          <w:rStyle w:val="FootnoteReference"/>
          <w:rFonts w:ascii="Times" w:hAnsi="Times" w:cs="Times New Roman"/>
          <w:sz w:val="20"/>
          <w:szCs w:val="20"/>
        </w:rPr>
        <w:footnoteRef/>
      </w:r>
      <w:r>
        <w:rPr>
          <w:rFonts w:ascii="Times" w:hAnsi="Times" w:cs="Times New Roman"/>
          <w:sz w:val="20"/>
          <w:szCs w:val="20"/>
        </w:rPr>
        <w:t xml:space="preserve"> Tony Mauro &amp; Marcia Coyle, </w:t>
      </w:r>
      <w:r w:rsidRPr="007657CC">
        <w:rPr>
          <w:rFonts w:ascii="Times" w:hAnsi="Times" w:cs="Times New Roman"/>
          <w:i/>
          <w:sz w:val="20"/>
          <w:szCs w:val="20"/>
        </w:rPr>
        <w:t>A Potential Gift to Politicians, from the Justices: In case against Bob McDonnell, justices troubled by prosecutors' broad in</w:t>
      </w:r>
      <w:r>
        <w:rPr>
          <w:rFonts w:ascii="Times" w:hAnsi="Times" w:cs="Times New Roman"/>
          <w:i/>
          <w:sz w:val="20"/>
          <w:szCs w:val="20"/>
        </w:rPr>
        <w:t>terpretation of “official act,”</w:t>
      </w:r>
      <w:r w:rsidRPr="007E0CB4">
        <w:rPr>
          <w:rFonts w:ascii="Times" w:hAnsi="Times" w:cs="Times New Roman"/>
          <w:sz w:val="20"/>
          <w:szCs w:val="20"/>
        </w:rPr>
        <w:t xml:space="preserve"> </w:t>
      </w:r>
      <w:r w:rsidRPr="007657CC">
        <w:rPr>
          <w:rFonts w:ascii="Times" w:hAnsi="Times" w:cs="Times New Roman"/>
          <w:smallCaps/>
          <w:sz w:val="20"/>
          <w:szCs w:val="20"/>
        </w:rPr>
        <w:t>The National Law Journal</w:t>
      </w:r>
      <w:r>
        <w:rPr>
          <w:rFonts w:ascii="Times" w:hAnsi="Times" w:cs="Times New Roman"/>
          <w:i/>
          <w:sz w:val="20"/>
          <w:szCs w:val="20"/>
        </w:rPr>
        <w:t xml:space="preserve">, </w:t>
      </w:r>
      <w:r>
        <w:rPr>
          <w:rFonts w:ascii="Times" w:hAnsi="Times" w:cs="Times New Roman"/>
          <w:sz w:val="20"/>
          <w:szCs w:val="20"/>
        </w:rPr>
        <w:t>May 2, 2016,</w:t>
      </w:r>
      <w:r w:rsidRPr="007E0CB4">
        <w:rPr>
          <w:rFonts w:ascii="Times" w:hAnsi="Times" w:cs="Times New Roman"/>
          <w:i/>
          <w:sz w:val="20"/>
          <w:szCs w:val="20"/>
        </w:rPr>
        <w:t xml:space="preserve"> </w:t>
      </w:r>
      <w:hyperlink r:id="rId1" w:history="1">
        <w:r w:rsidRPr="00DA3241">
          <w:rPr>
            <w:rStyle w:val="Hyperlink"/>
            <w:rFonts w:ascii="Times" w:hAnsi="Times" w:cs="Times New Roman"/>
            <w:sz w:val="20"/>
            <w:szCs w:val="20"/>
          </w:rPr>
          <w:t>http://www.nationallawjournal.com/id=1202756391208/A-Potential-Gift-to-Politicians-from-the-Justices?slreturn=20161030181747</w:t>
        </w:r>
      </w:hyperlink>
      <w:r>
        <w:rPr>
          <w:rFonts w:ascii="Times" w:hAnsi="Times" w:cs="Times New Roman"/>
          <w:sz w:val="20"/>
          <w:szCs w:val="20"/>
        </w:rPr>
        <w:t xml:space="preserve">; </w:t>
      </w:r>
      <w:r>
        <w:rPr>
          <w:rFonts w:ascii="Times" w:hAnsi="Times" w:cs="Times New Roman"/>
          <w:i/>
          <w:sz w:val="20"/>
          <w:szCs w:val="20"/>
        </w:rPr>
        <w:t xml:space="preserve">see also </w:t>
      </w:r>
      <w:r>
        <w:rPr>
          <w:rFonts w:ascii="Times" w:hAnsi="Times" w:cs="Times New Roman"/>
          <w:sz w:val="20"/>
          <w:szCs w:val="20"/>
        </w:rPr>
        <w:t xml:space="preserve">Greg </w:t>
      </w:r>
      <w:proofErr w:type="spellStart"/>
      <w:r>
        <w:rPr>
          <w:rFonts w:ascii="Times" w:hAnsi="Times" w:cs="Times New Roman"/>
          <w:sz w:val="20"/>
          <w:szCs w:val="20"/>
        </w:rPr>
        <w:t>Stohr</w:t>
      </w:r>
      <w:proofErr w:type="spellEnd"/>
      <w:r>
        <w:rPr>
          <w:rFonts w:ascii="Times" w:hAnsi="Times" w:cs="Times New Roman"/>
          <w:sz w:val="20"/>
          <w:szCs w:val="20"/>
        </w:rPr>
        <w:t xml:space="preserve">, </w:t>
      </w:r>
      <w:r w:rsidRPr="007657CC">
        <w:rPr>
          <w:rFonts w:ascii="Times" w:hAnsi="Times" w:cs="Times New Roman"/>
          <w:i/>
          <w:sz w:val="20"/>
          <w:szCs w:val="20"/>
        </w:rPr>
        <w:t>Supreme Court May Raise Bar for Corruption</w:t>
      </w:r>
      <w:r>
        <w:rPr>
          <w:rFonts w:ascii="Times" w:hAnsi="Times" w:cs="Times New Roman"/>
          <w:sz w:val="20"/>
          <w:szCs w:val="20"/>
        </w:rPr>
        <w:t xml:space="preserve">. </w:t>
      </w:r>
      <w:r w:rsidRPr="007657CC">
        <w:rPr>
          <w:rFonts w:ascii="Times" w:hAnsi="Times" w:cs="Times New Roman"/>
          <w:smallCaps/>
          <w:sz w:val="20"/>
          <w:szCs w:val="20"/>
        </w:rPr>
        <w:t>Bloomberg Politics</w:t>
      </w:r>
      <w:r>
        <w:rPr>
          <w:rFonts w:ascii="Times" w:hAnsi="Times" w:cs="Times New Roman"/>
          <w:smallCaps/>
          <w:sz w:val="20"/>
          <w:szCs w:val="20"/>
        </w:rPr>
        <w:t>,</w:t>
      </w:r>
      <w:r w:rsidRPr="007E0CB4">
        <w:rPr>
          <w:rFonts w:ascii="Times" w:hAnsi="Times" w:cs="Times New Roman"/>
          <w:sz w:val="20"/>
          <w:szCs w:val="20"/>
        </w:rPr>
        <w:t xml:space="preserve"> </w:t>
      </w:r>
      <w:r>
        <w:rPr>
          <w:rFonts w:ascii="Times" w:hAnsi="Times" w:cs="Times New Roman"/>
          <w:sz w:val="20"/>
          <w:szCs w:val="20"/>
        </w:rPr>
        <w:t>April 27, 2016</w:t>
      </w:r>
      <w:r>
        <w:rPr>
          <w:rFonts w:ascii="Times" w:hAnsi="Times" w:cs="Times New Roman"/>
          <w:i/>
          <w:sz w:val="20"/>
          <w:szCs w:val="20"/>
        </w:rPr>
        <w:t xml:space="preserve">, </w:t>
      </w:r>
      <w:r w:rsidRPr="007E0CB4">
        <w:rPr>
          <w:rFonts w:ascii="Times" w:hAnsi="Times" w:cs="Times New Roman"/>
          <w:sz w:val="20"/>
          <w:szCs w:val="20"/>
        </w:rPr>
        <w:t>http://www.bloomberg.com/politics/articles/2016-04-27/u-s-high-court-may-raise-bar-for-corruption-prosecutions</w:t>
      </w:r>
      <w:r>
        <w:rPr>
          <w:rFonts w:ascii="Times" w:hAnsi="Times" w:cs="Times New Roman"/>
          <w:sz w:val="20"/>
          <w:szCs w:val="20"/>
        </w:rPr>
        <w:t>.</w:t>
      </w:r>
    </w:p>
    <w:p w14:paraId="29F26934" w14:textId="77777777" w:rsidR="004C4EC2" w:rsidRPr="007E0CB4" w:rsidRDefault="004C4EC2" w:rsidP="00FC77B1">
      <w:pPr>
        <w:pStyle w:val="FootnoteText"/>
        <w:rPr>
          <w:rFonts w:ascii="Times" w:hAnsi="Times" w:cs="Times New Roman"/>
          <w:sz w:val="20"/>
          <w:szCs w:val="20"/>
        </w:rPr>
      </w:pPr>
    </w:p>
  </w:footnote>
  <w:footnote w:id="5">
    <w:p w14:paraId="53BAAD1B" w14:textId="77777777" w:rsidR="004C4EC2" w:rsidRPr="007657CC" w:rsidRDefault="004C4EC2">
      <w:pPr>
        <w:pStyle w:val="FootnoteText"/>
        <w:rPr>
          <w:rFonts w:ascii="Times" w:hAnsi="Times" w:cs="Times New Roman"/>
          <w:i/>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 xml:space="preserve"> </w:t>
      </w:r>
      <w:r>
        <w:rPr>
          <w:rFonts w:ascii="Times" w:hAnsi="Times" w:cs="Times New Roman"/>
          <w:sz w:val="20"/>
          <w:szCs w:val="20"/>
        </w:rPr>
        <w:t xml:space="preserve">Mauro &amp; Coyle, </w:t>
      </w:r>
      <w:r>
        <w:rPr>
          <w:rFonts w:ascii="Times" w:hAnsi="Times" w:cs="Times New Roman"/>
          <w:i/>
          <w:sz w:val="20"/>
          <w:szCs w:val="20"/>
        </w:rPr>
        <w:t xml:space="preserve">supra </w:t>
      </w:r>
      <w:r>
        <w:rPr>
          <w:rFonts w:ascii="Times" w:hAnsi="Times" w:cs="Times New Roman"/>
          <w:sz w:val="20"/>
          <w:szCs w:val="20"/>
        </w:rPr>
        <w:t xml:space="preserve">note 5; </w:t>
      </w:r>
      <w:proofErr w:type="spellStart"/>
      <w:r>
        <w:rPr>
          <w:rFonts w:ascii="Times" w:hAnsi="Times" w:cs="Times New Roman"/>
          <w:sz w:val="20"/>
          <w:szCs w:val="20"/>
        </w:rPr>
        <w:t>Stohr</w:t>
      </w:r>
      <w:proofErr w:type="spellEnd"/>
      <w:r>
        <w:rPr>
          <w:rFonts w:ascii="Times" w:hAnsi="Times" w:cs="Times New Roman"/>
          <w:sz w:val="20"/>
          <w:szCs w:val="20"/>
        </w:rPr>
        <w:t xml:space="preserve">, </w:t>
      </w:r>
      <w:r>
        <w:rPr>
          <w:rFonts w:ascii="Times" w:hAnsi="Times" w:cs="Times New Roman"/>
          <w:i/>
          <w:sz w:val="20"/>
          <w:szCs w:val="20"/>
        </w:rPr>
        <w:t xml:space="preserve">supra </w:t>
      </w:r>
      <w:r w:rsidRPr="007657CC">
        <w:rPr>
          <w:rFonts w:ascii="Times" w:hAnsi="Times" w:cs="Times New Roman"/>
          <w:sz w:val="20"/>
          <w:szCs w:val="20"/>
        </w:rPr>
        <w:t>note 5.</w:t>
      </w:r>
    </w:p>
  </w:footnote>
  <w:footnote w:id="6">
    <w:p w14:paraId="3B8FCE02" w14:textId="77777777" w:rsidR="004C4EC2" w:rsidRPr="007E0CB4" w:rsidRDefault="004C4EC2">
      <w:pPr>
        <w:pStyle w:val="FootnoteText"/>
        <w:rPr>
          <w:rFonts w:ascii="Times" w:hAnsi="Times"/>
          <w:sz w:val="20"/>
          <w:szCs w:val="20"/>
        </w:rPr>
      </w:pPr>
      <w:r w:rsidRPr="007E0CB4">
        <w:rPr>
          <w:rStyle w:val="FootnoteReference"/>
          <w:rFonts w:ascii="Times" w:hAnsi="Times"/>
          <w:sz w:val="20"/>
          <w:szCs w:val="20"/>
        </w:rPr>
        <w:footnoteRef/>
      </w:r>
      <w:r w:rsidRPr="007E0CB4">
        <w:rPr>
          <w:rFonts w:ascii="Times" w:hAnsi="Times"/>
          <w:sz w:val="20"/>
          <w:szCs w:val="20"/>
        </w:rPr>
        <w:t xml:space="preserve"> </w:t>
      </w:r>
      <w:r>
        <w:rPr>
          <w:rFonts w:ascii="Times" w:hAnsi="Times" w:cs="Times New Roman"/>
          <w:sz w:val="20"/>
          <w:szCs w:val="20"/>
        </w:rPr>
        <w:t xml:space="preserve">Mauro &amp; Coyle, </w:t>
      </w:r>
      <w:r>
        <w:rPr>
          <w:rFonts w:ascii="Times" w:hAnsi="Times" w:cs="Times New Roman"/>
          <w:i/>
          <w:sz w:val="20"/>
          <w:szCs w:val="20"/>
        </w:rPr>
        <w:t xml:space="preserve">supra </w:t>
      </w:r>
      <w:r>
        <w:rPr>
          <w:rFonts w:ascii="Times" w:hAnsi="Times" w:cs="Times New Roman"/>
          <w:sz w:val="20"/>
          <w:szCs w:val="20"/>
        </w:rPr>
        <w:t xml:space="preserve">note 5; </w:t>
      </w:r>
      <w:proofErr w:type="spellStart"/>
      <w:r>
        <w:rPr>
          <w:rFonts w:ascii="Times" w:hAnsi="Times" w:cs="Times New Roman"/>
          <w:sz w:val="20"/>
          <w:szCs w:val="20"/>
        </w:rPr>
        <w:t>Stohr</w:t>
      </w:r>
      <w:proofErr w:type="spellEnd"/>
      <w:r>
        <w:rPr>
          <w:rFonts w:ascii="Times" w:hAnsi="Times" w:cs="Times New Roman"/>
          <w:sz w:val="20"/>
          <w:szCs w:val="20"/>
        </w:rPr>
        <w:t xml:space="preserve">, </w:t>
      </w:r>
      <w:r>
        <w:rPr>
          <w:rFonts w:ascii="Times" w:hAnsi="Times" w:cs="Times New Roman"/>
          <w:i/>
          <w:sz w:val="20"/>
          <w:szCs w:val="20"/>
        </w:rPr>
        <w:t xml:space="preserve">supra </w:t>
      </w:r>
      <w:r w:rsidRPr="007657CC">
        <w:rPr>
          <w:rFonts w:ascii="Times" w:hAnsi="Times" w:cs="Times New Roman"/>
          <w:sz w:val="20"/>
          <w:szCs w:val="20"/>
        </w:rPr>
        <w:t>note 5.</w:t>
      </w:r>
    </w:p>
  </w:footnote>
  <w:footnote w:id="7">
    <w:p w14:paraId="16DEFD78" w14:textId="77777777" w:rsidR="004C4EC2" w:rsidRPr="007E0CB4" w:rsidRDefault="004C4EC2">
      <w:pPr>
        <w:pStyle w:val="FootnoteText"/>
        <w:rPr>
          <w:rFonts w:ascii="Times" w:hAnsi="Times"/>
          <w:sz w:val="20"/>
          <w:szCs w:val="20"/>
        </w:rPr>
      </w:pPr>
      <w:r w:rsidRPr="007E0CB4">
        <w:rPr>
          <w:rStyle w:val="FootnoteReference"/>
          <w:rFonts w:ascii="Times" w:hAnsi="Times"/>
          <w:sz w:val="20"/>
          <w:szCs w:val="20"/>
        </w:rPr>
        <w:footnoteRef/>
      </w:r>
      <w:r w:rsidRPr="007E0CB4">
        <w:rPr>
          <w:rFonts w:ascii="Times" w:hAnsi="Times"/>
          <w:sz w:val="20"/>
          <w:szCs w:val="20"/>
        </w:rPr>
        <w:t xml:space="preserve"> </w:t>
      </w:r>
      <w:r w:rsidRPr="007E0CB4">
        <w:rPr>
          <w:rFonts w:ascii="Times" w:hAnsi="Times"/>
          <w:i/>
          <w:sz w:val="20"/>
          <w:szCs w:val="20"/>
        </w:rPr>
        <w:t>McDonnell v. United States</w:t>
      </w:r>
      <w:r>
        <w:rPr>
          <w:rFonts w:ascii="Times" w:hAnsi="Times"/>
          <w:i/>
          <w:sz w:val="20"/>
          <w:szCs w:val="20"/>
        </w:rPr>
        <w:t>,</w:t>
      </w:r>
      <w:r w:rsidRPr="007E0CB4">
        <w:rPr>
          <w:rFonts w:ascii="Times" w:hAnsi="Times"/>
          <w:i/>
          <w:sz w:val="20"/>
          <w:szCs w:val="20"/>
        </w:rPr>
        <w:t xml:space="preserve"> </w:t>
      </w:r>
      <w:r w:rsidRPr="00C430F4">
        <w:rPr>
          <w:rFonts w:ascii="Times" w:hAnsi="Times"/>
          <w:sz w:val="20"/>
          <w:szCs w:val="20"/>
        </w:rPr>
        <w:t xml:space="preserve">136 S. Ct. 2355 </w:t>
      </w:r>
      <w:r>
        <w:rPr>
          <w:rFonts w:ascii="Times" w:hAnsi="Times"/>
          <w:sz w:val="20"/>
          <w:szCs w:val="20"/>
        </w:rPr>
        <w:t>(2016</w:t>
      </w:r>
      <w:r w:rsidRPr="007E0CB4">
        <w:rPr>
          <w:rFonts w:ascii="Times" w:hAnsi="Times"/>
          <w:sz w:val="20"/>
          <w:szCs w:val="20"/>
        </w:rPr>
        <w:t>).</w:t>
      </w:r>
    </w:p>
  </w:footnote>
  <w:footnote w:id="8">
    <w:p w14:paraId="03AE96CD" w14:textId="77777777" w:rsidR="004C4EC2" w:rsidRPr="007E0CB4" w:rsidRDefault="004C4EC2">
      <w:pPr>
        <w:pStyle w:val="FootnoteText"/>
        <w:rPr>
          <w:rFonts w:ascii="Times" w:hAnsi="Times" w:cs="Times New Roman"/>
          <w:i/>
          <w:sz w:val="20"/>
          <w:szCs w:val="20"/>
        </w:rPr>
      </w:pPr>
      <w:r w:rsidRPr="007E0CB4">
        <w:rPr>
          <w:rStyle w:val="FootnoteReference"/>
          <w:rFonts w:ascii="Times" w:hAnsi="Times" w:cs="Times New Roman"/>
          <w:sz w:val="20"/>
          <w:szCs w:val="20"/>
        </w:rPr>
        <w:footnoteRef/>
      </w:r>
      <w:r>
        <w:rPr>
          <w:rFonts w:ascii="Times" w:hAnsi="Times" w:cs="Times New Roman"/>
          <w:sz w:val="20"/>
          <w:szCs w:val="20"/>
        </w:rPr>
        <w:t xml:space="preserve"> Adam Feldman, </w:t>
      </w:r>
      <w:r w:rsidRPr="00C430F4">
        <w:rPr>
          <w:rFonts w:ascii="Times" w:hAnsi="Times" w:cs="Times New Roman"/>
          <w:i/>
          <w:sz w:val="20"/>
          <w:szCs w:val="20"/>
        </w:rPr>
        <w:t>Amicus Briefs and Oral Arguments in the Roberts Court</w:t>
      </w:r>
      <w:r>
        <w:rPr>
          <w:rFonts w:ascii="Times" w:hAnsi="Times" w:cs="Times New Roman"/>
          <w:sz w:val="20"/>
          <w:szCs w:val="20"/>
        </w:rPr>
        <w:t>,</w:t>
      </w:r>
      <w:r w:rsidRPr="007E0CB4">
        <w:rPr>
          <w:rFonts w:ascii="Times" w:hAnsi="Times" w:cs="Times New Roman"/>
          <w:sz w:val="20"/>
          <w:szCs w:val="20"/>
        </w:rPr>
        <w:t xml:space="preserve"> </w:t>
      </w:r>
      <w:r w:rsidRPr="00C430F4">
        <w:rPr>
          <w:rFonts w:ascii="Times" w:hAnsi="Times" w:cs="Times New Roman"/>
          <w:smallCaps/>
          <w:sz w:val="20"/>
          <w:szCs w:val="20"/>
        </w:rPr>
        <w:t>Empirical SCOTUS Blog</w:t>
      </w:r>
      <w:r>
        <w:rPr>
          <w:rFonts w:ascii="Times" w:hAnsi="Times" w:cs="Times New Roman"/>
          <w:sz w:val="20"/>
          <w:szCs w:val="20"/>
        </w:rPr>
        <w:t>, March 7, 2016,</w:t>
      </w:r>
      <w:r w:rsidRPr="007E0CB4">
        <w:rPr>
          <w:rFonts w:ascii="Times" w:hAnsi="Times" w:cs="Times New Roman"/>
          <w:i/>
          <w:sz w:val="20"/>
          <w:szCs w:val="20"/>
        </w:rPr>
        <w:t xml:space="preserve"> </w:t>
      </w:r>
      <w:r w:rsidRPr="007E0CB4">
        <w:rPr>
          <w:rFonts w:ascii="Times" w:hAnsi="Times" w:cs="ê‡Òø3≥#5'38ø£q÷B"/>
          <w:sz w:val="20"/>
          <w:szCs w:val="20"/>
        </w:rPr>
        <w:t>https://empiricalscotus.com/2016/03/07/amicus-briefs-and-oral-arguments-in-the-roberts-court/.</w:t>
      </w:r>
    </w:p>
  </w:footnote>
  <w:footnote w:id="9">
    <w:p w14:paraId="5BDBDE68" w14:textId="77777777" w:rsidR="004C4EC2" w:rsidRPr="00AA03B6" w:rsidRDefault="004C4EC2" w:rsidP="00AA03B6">
      <w:pPr>
        <w:rPr>
          <w:rFonts w:ascii="Times" w:eastAsia="Times New Roman" w:hAnsi="Times" w:cs="Times New Roman"/>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 xml:space="preserve"> </w:t>
      </w:r>
      <w:r w:rsidRPr="007E0CB4">
        <w:rPr>
          <w:rFonts w:ascii="Times" w:hAnsi="Times" w:cs="Times New Roman"/>
          <w:i/>
          <w:sz w:val="20"/>
          <w:szCs w:val="20"/>
        </w:rPr>
        <w:t xml:space="preserve">See, e.g., </w:t>
      </w:r>
      <w:r>
        <w:rPr>
          <w:rFonts w:ascii="Times" w:hAnsi="Times" w:cs="Times New Roman"/>
          <w:sz w:val="20"/>
          <w:szCs w:val="20"/>
        </w:rPr>
        <w:t xml:space="preserve">Paul M. Collins, </w:t>
      </w:r>
      <w:r w:rsidRPr="007E0CB4">
        <w:rPr>
          <w:rFonts w:ascii="Times" w:hAnsi="Times" w:cs="Times New Roman"/>
          <w:sz w:val="20"/>
          <w:szCs w:val="20"/>
        </w:rPr>
        <w:t>Jr.</w:t>
      </w:r>
      <w:r>
        <w:rPr>
          <w:rFonts w:ascii="Times" w:hAnsi="Times" w:cs="Times New Roman"/>
          <w:sz w:val="20"/>
          <w:szCs w:val="20"/>
        </w:rPr>
        <w:t xml:space="preserve">, </w:t>
      </w:r>
      <w:r w:rsidRPr="00C430F4">
        <w:rPr>
          <w:rFonts w:ascii="Times" w:hAnsi="Times" w:cs="Times New Roman"/>
          <w:smallCaps/>
          <w:sz w:val="20"/>
          <w:szCs w:val="20"/>
        </w:rPr>
        <w:t>Friends of the Supreme Court: Interest Groups and Judicial Decision Making</w:t>
      </w:r>
      <w:r>
        <w:rPr>
          <w:rFonts w:ascii="Times" w:hAnsi="Times" w:cs="Times New Roman"/>
          <w:i/>
          <w:sz w:val="20"/>
          <w:szCs w:val="20"/>
        </w:rPr>
        <w:t xml:space="preserve"> </w:t>
      </w:r>
      <w:r>
        <w:rPr>
          <w:rFonts w:ascii="Times" w:hAnsi="Times" w:cs="Times New Roman"/>
          <w:sz w:val="20"/>
          <w:szCs w:val="20"/>
        </w:rPr>
        <w:t xml:space="preserve">(2008); Joseph D. Kearney and Thomas W. Merrill, </w:t>
      </w:r>
      <w:r w:rsidRPr="007523A9">
        <w:rPr>
          <w:rFonts w:ascii="Times" w:hAnsi="Times" w:cs="Times New Roman"/>
          <w:i/>
          <w:sz w:val="20"/>
          <w:szCs w:val="20"/>
        </w:rPr>
        <w:t>The Influence of Amicus Curiae Briefs on the Supreme Court</w:t>
      </w:r>
      <w:r>
        <w:rPr>
          <w:rFonts w:ascii="Times" w:hAnsi="Times" w:cs="Times New Roman"/>
          <w:sz w:val="20"/>
          <w:szCs w:val="20"/>
        </w:rPr>
        <w:t xml:space="preserve">, </w:t>
      </w:r>
      <w:r w:rsidRPr="007523A9">
        <w:rPr>
          <w:rFonts w:ascii="Times" w:hAnsi="Times" w:cs="Times New Roman"/>
          <w:smallCaps/>
          <w:sz w:val="20"/>
          <w:szCs w:val="20"/>
        </w:rPr>
        <w:t xml:space="preserve">148 U. Pa. L. Rev. </w:t>
      </w:r>
      <w:r>
        <w:rPr>
          <w:rFonts w:ascii="Times" w:hAnsi="Times" w:cs="Times New Roman"/>
          <w:sz w:val="20"/>
          <w:szCs w:val="20"/>
        </w:rPr>
        <w:t>743 (2000)</w:t>
      </w:r>
      <w:r w:rsidRPr="007E0CB4">
        <w:rPr>
          <w:rFonts w:ascii="Times" w:hAnsi="Times" w:cs="Times New Roman"/>
          <w:sz w:val="20"/>
          <w:szCs w:val="20"/>
        </w:rPr>
        <w:t xml:space="preserve">; </w:t>
      </w:r>
      <w:r>
        <w:rPr>
          <w:rFonts w:ascii="Times" w:hAnsi="Times" w:cs="Times New Roman"/>
          <w:sz w:val="20"/>
          <w:szCs w:val="20"/>
        </w:rPr>
        <w:t xml:space="preserve">James F. </w:t>
      </w:r>
      <w:proofErr w:type="spellStart"/>
      <w:r>
        <w:rPr>
          <w:rFonts w:ascii="Times" w:hAnsi="Times" w:cs="Times New Roman"/>
          <w:sz w:val="20"/>
          <w:szCs w:val="20"/>
        </w:rPr>
        <w:t>Spriggs</w:t>
      </w:r>
      <w:proofErr w:type="spellEnd"/>
      <w:r>
        <w:rPr>
          <w:rFonts w:ascii="Times" w:hAnsi="Times" w:cs="Times New Roman"/>
          <w:sz w:val="20"/>
          <w:szCs w:val="20"/>
        </w:rPr>
        <w:t xml:space="preserve">, II &amp; Paul Wahlbeck, </w:t>
      </w:r>
      <w:r w:rsidRPr="007523A9">
        <w:rPr>
          <w:rFonts w:ascii="Times" w:eastAsia="Times New Roman" w:hAnsi="Times" w:cs="Times New Roman"/>
          <w:i/>
          <w:iCs/>
          <w:sz w:val="20"/>
          <w:szCs w:val="20"/>
        </w:rPr>
        <w:t>Amicus Curiae and the Role of Information at the Supreme Court</w:t>
      </w:r>
      <w:r w:rsidRPr="007523A9">
        <w:rPr>
          <w:rFonts w:ascii="Times" w:eastAsia="Times New Roman" w:hAnsi="Times" w:cs="Times New Roman"/>
          <w:sz w:val="20"/>
          <w:szCs w:val="20"/>
        </w:rPr>
        <w:t xml:space="preserve">, 50 </w:t>
      </w:r>
      <w:r w:rsidRPr="007523A9">
        <w:rPr>
          <w:rFonts w:ascii="Times" w:eastAsia="Times New Roman" w:hAnsi="Times" w:cs="Times New Roman"/>
          <w:smallCaps/>
          <w:sz w:val="20"/>
          <w:szCs w:val="20"/>
        </w:rPr>
        <w:t>Pol</w:t>
      </w:r>
      <w:r>
        <w:rPr>
          <w:rFonts w:ascii="Times" w:eastAsia="Times New Roman" w:hAnsi="Times" w:cs="Times New Roman"/>
          <w:smallCaps/>
          <w:sz w:val="20"/>
          <w:szCs w:val="20"/>
        </w:rPr>
        <w:t>.</w:t>
      </w:r>
      <w:r w:rsidRPr="007523A9">
        <w:rPr>
          <w:rFonts w:ascii="Times" w:eastAsia="Times New Roman" w:hAnsi="Times" w:cs="Times New Roman"/>
          <w:smallCaps/>
          <w:sz w:val="20"/>
          <w:szCs w:val="20"/>
        </w:rPr>
        <w:t xml:space="preserve"> Research Q</w:t>
      </w:r>
      <w:r>
        <w:rPr>
          <w:rFonts w:ascii="Times" w:eastAsia="Times New Roman" w:hAnsi="Times" w:cs="Times New Roman"/>
          <w:smallCaps/>
          <w:sz w:val="20"/>
          <w:szCs w:val="20"/>
        </w:rPr>
        <w:t>.</w:t>
      </w:r>
      <w:r>
        <w:rPr>
          <w:rFonts w:ascii="Times" w:eastAsia="Times New Roman" w:hAnsi="Times" w:cs="Times New Roman"/>
          <w:sz w:val="20"/>
          <w:szCs w:val="20"/>
        </w:rPr>
        <w:t xml:space="preserve"> 365</w:t>
      </w:r>
      <w:r w:rsidRPr="007523A9">
        <w:rPr>
          <w:rFonts w:ascii="Times" w:eastAsia="Times New Roman" w:hAnsi="Times" w:cs="Times New Roman"/>
          <w:sz w:val="20"/>
          <w:szCs w:val="20"/>
        </w:rPr>
        <w:t xml:space="preserve"> (1997). </w:t>
      </w:r>
    </w:p>
  </w:footnote>
  <w:footnote w:id="10">
    <w:p w14:paraId="1CF034DE" w14:textId="77777777" w:rsidR="004C4EC2" w:rsidRPr="007E0CB4" w:rsidRDefault="004C4EC2">
      <w:pPr>
        <w:pStyle w:val="FootnoteText"/>
        <w:rPr>
          <w:rFonts w:ascii="Times" w:hAnsi="Times" w:cs="Times New Roman"/>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 xml:space="preserve"> Richard </w:t>
      </w:r>
      <w:proofErr w:type="spellStart"/>
      <w:r w:rsidRPr="007E0CB4">
        <w:rPr>
          <w:rFonts w:ascii="Times" w:hAnsi="Times" w:cs="Times New Roman"/>
          <w:sz w:val="20"/>
          <w:szCs w:val="20"/>
        </w:rPr>
        <w:t>Pacelle</w:t>
      </w:r>
      <w:proofErr w:type="spellEnd"/>
      <w:r w:rsidRPr="007E0CB4">
        <w:rPr>
          <w:rFonts w:ascii="Times" w:hAnsi="Times" w:cs="Times New Roman"/>
          <w:sz w:val="20"/>
          <w:szCs w:val="20"/>
        </w:rPr>
        <w:t xml:space="preserve">, Jr., </w:t>
      </w:r>
      <w:r>
        <w:rPr>
          <w:rFonts w:ascii="Times" w:hAnsi="Times" w:cs="Times New Roman"/>
          <w:sz w:val="20"/>
          <w:szCs w:val="20"/>
        </w:rPr>
        <w:t>et al</w:t>
      </w:r>
      <w:r w:rsidRPr="007E0CB4">
        <w:rPr>
          <w:rFonts w:ascii="Times" w:hAnsi="Times" w:cs="Times New Roman"/>
          <w:sz w:val="20"/>
          <w:szCs w:val="20"/>
        </w:rPr>
        <w:t xml:space="preserve">, </w:t>
      </w:r>
      <w:r w:rsidRPr="007E0CB4">
        <w:rPr>
          <w:rFonts w:ascii="Times" w:hAnsi="Times" w:cs="Times New Roman"/>
          <w:i/>
          <w:sz w:val="20"/>
          <w:szCs w:val="20"/>
        </w:rPr>
        <w:t xml:space="preserve">Assessing the Influence of </w:t>
      </w:r>
      <w:r w:rsidRPr="007E0CB4">
        <w:rPr>
          <w:rFonts w:ascii="Times" w:hAnsi="Times" w:cs="Times New Roman"/>
          <w:sz w:val="20"/>
          <w:szCs w:val="20"/>
        </w:rPr>
        <w:t>Amicus Curiae</w:t>
      </w:r>
      <w:r w:rsidRPr="007E0CB4">
        <w:rPr>
          <w:rFonts w:ascii="Times" w:hAnsi="Times" w:cs="Times New Roman"/>
          <w:i/>
          <w:sz w:val="20"/>
          <w:szCs w:val="20"/>
        </w:rPr>
        <w:t xml:space="preserve"> Briefs on the Roberts Court</w:t>
      </w:r>
      <w:r>
        <w:rPr>
          <w:rFonts w:ascii="Times" w:hAnsi="Times" w:cs="Times New Roman"/>
          <w:i/>
          <w:sz w:val="20"/>
          <w:szCs w:val="20"/>
        </w:rPr>
        <w:t xml:space="preserve"> </w:t>
      </w:r>
      <w:r>
        <w:rPr>
          <w:rFonts w:ascii="Times" w:hAnsi="Times" w:cs="Times New Roman"/>
          <w:sz w:val="20"/>
          <w:szCs w:val="20"/>
        </w:rPr>
        <w:t>(</w:t>
      </w:r>
      <w:r w:rsidRPr="007E0CB4">
        <w:rPr>
          <w:rFonts w:ascii="Times" w:hAnsi="Times" w:cs="Times New Roman"/>
          <w:sz w:val="20"/>
          <w:szCs w:val="20"/>
        </w:rPr>
        <w:t>Annual Meeting of the Southern Political Science Association</w:t>
      </w:r>
      <w:r>
        <w:rPr>
          <w:rFonts w:ascii="Times" w:hAnsi="Times" w:cs="Times New Roman"/>
          <w:sz w:val="20"/>
          <w:szCs w:val="20"/>
        </w:rPr>
        <w:t>, Working Paper, 2016)(on file with authors)</w:t>
      </w:r>
      <w:r w:rsidRPr="007E0CB4">
        <w:rPr>
          <w:rFonts w:ascii="Times" w:hAnsi="Times" w:cs="Times New Roman"/>
          <w:sz w:val="20"/>
          <w:szCs w:val="20"/>
        </w:rPr>
        <w:t>; Da</w:t>
      </w:r>
      <w:r>
        <w:rPr>
          <w:rFonts w:ascii="Times" w:hAnsi="Times" w:cs="Times New Roman"/>
          <w:sz w:val="20"/>
          <w:szCs w:val="20"/>
        </w:rPr>
        <w:t xml:space="preserve">vid H. Scott, </w:t>
      </w:r>
      <w:r w:rsidRPr="00AA03B6">
        <w:rPr>
          <w:rFonts w:ascii="Times" w:hAnsi="Times" w:cs="Times New Roman"/>
          <w:sz w:val="20"/>
          <w:szCs w:val="20"/>
        </w:rPr>
        <w:t>Friendly Fire: Amicus Curiae Participation and Impact at the Roberts Court</w:t>
      </w:r>
      <w:r>
        <w:rPr>
          <w:rFonts w:ascii="Times" w:hAnsi="Times" w:cs="Times New Roman"/>
          <w:sz w:val="20"/>
          <w:szCs w:val="20"/>
        </w:rPr>
        <w:t xml:space="preserve"> (Dec. 2013)(Unpublished Ph. D. dissertation, </w:t>
      </w:r>
      <w:r w:rsidRPr="007E0CB4">
        <w:rPr>
          <w:rFonts w:ascii="Times" w:hAnsi="Times" w:cs="Times New Roman"/>
          <w:sz w:val="20"/>
          <w:szCs w:val="20"/>
        </w:rPr>
        <w:t>University of Tennessee – Knoxville</w:t>
      </w:r>
      <w:r>
        <w:rPr>
          <w:rFonts w:ascii="Times" w:hAnsi="Times" w:cs="Times New Roman"/>
          <w:sz w:val="20"/>
          <w:szCs w:val="20"/>
        </w:rPr>
        <w:t xml:space="preserve"> </w:t>
      </w:r>
      <w:r w:rsidRPr="00323637">
        <w:rPr>
          <w:rFonts w:ascii="Times" w:hAnsi="Times" w:cs="Times New Roman"/>
          <w:sz w:val="20"/>
          <w:szCs w:val="20"/>
        </w:rPr>
        <w:t>http://trace.tennessee.edu/cgi/viewcontent.cgi?article=3448&amp;context=utk_graddiss</w:t>
      </w:r>
      <w:r w:rsidRPr="007E0CB4">
        <w:rPr>
          <w:rFonts w:ascii="Times" w:hAnsi="Times" w:cs="Times New Roman"/>
          <w:sz w:val="20"/>
          <w:szCs w:val="20"/>
        </w:rPr>
        <w:t>; R. Reeves Anderson</w:t>
      </w:r>
      <w:r>
        <w:rPr>
          <w:rFonts w:ascii="Times" w:hAnsi="Times" w:cs="Times New Roman"/>
          <w:sz w:val="20"/>
          <w:szCs w:val="20"/>
        </w:rPr>
        <w:t xml:space="preserve"> &amp;</w:t>
      </w:r>
      <w:r w:rsidRPr="007E0CB4">
        <w:rPr>
          <w:rFonts w:ascii="Times" w:hAnsi="Times" w:cs="Times New Roman"/>
          <w:sz w:val="20"/>
          <w:szCs w:val="20"/>
        </w:rPr>
        <w:t xml:space="preserve"> Anthony J. </w:t>
      </w:r>
      <w:proofErr w:type="spellStart"/>
      <w:r w:rsidRPr="007E0CB4">
        <w:rPr>
          <w:rFonts w:ascii="Times" w:hAnsi="Times" w:cs="Times New Roman"/>
          <w:sz w:val="20"/>
          <w:szCs w:val="20"/>
        </w:rPr>
        <w:t>Franze</w:t>
      </w:r>
      <w:proofErr w:type="spellEnd"/>
      <w:r>
        <w:rPr>
          <w:rFonts w:ascii="Times" w:hAnsi="Times" w:cs="Times New Roman"/>
          <w:sz w:val="20"/>
          <w:szCs w:val="20"/>
        </w:rPr>
        <w:t xml:space="preserve">, </w:t>
      </w:r>
      <w:r>
        <w:rPr>
          <w:rFonts w:ascii="Times" w:hAnsi="Times" w:cs="Times New Roman"/>
          <w:i/>
          <w:sz w:val="20"/>
          <w:szCs w:val="20"/>
        </w:rPr>
        <w:t>Commentary: The Court’s Increasing R</w:t>
      </w:r>
      <w:r w:rsidRPr="00782872">
        <w:rPr>
          <w:rFonts w:ascii="Times" w:hAnsi="Times" w:cs="Times New Roman"/>
          <w:i/>
          <w:sz w:val="20"/>
          <w:szCs w:val="20"/>
        </w:rPr>
        <w:t>eliance on</w:t>
      </w:r>
      <w:r>
        <w:rPr>
          <w:rFonts w:ascii="Times" w:hAnsi="Times" w:cs="Times New Roman"/>
          <w:i/>
          <w:sz w:val="20"/>
          <w:szCs w:val="20"/>
        </w:rPr>
        <w:t xml:space="preserve"> Amicus Curiae in the Past T</w:t>
      </w:r>
      <w:r w:rsidRPr="00782872">
        <w:rPr>
          <w:rFonts w:ascii="Times" w:hAnsi="Times" w:cs="Times New Roman"/>
          <w:i/>
          <w:sz w:val="20"/>
          <w:szCs w:val="20"/>
        </w:rPr>
        <w:t>erm</w:t>
      </w:r>
      <w:r>
        <w:rPr>
          <w:rFonts w:ascii="Times" w:hAnsi="Times" w:cs="Times New Roman"/>
          <w:sz w:val="20"/>
          <w:szCs w:val="20"/>
        </w:rPr>
        <w:t>,</w:t>
      </w:r>
      <w:r w:rsidRPr="007E0CB4">
        <w:rPr>
          <w:rFonts w:ascii="Times" w:hAnsi="Times" w:cs="Times New Roman"/>
          <w:sz w:val="20"/>
          <w:szCs w:val="20"/>
        </w:rPr>
        <w:t xml:space="preserve"> </w:t>
      </w:r>
      <w:r w:rsidRPr="00782872">
        <w:rPr>
          <w:rFonts w:ascii="Times" w:hAnsi="Times" w:cs="Times New Roman"/>
          <w:smallCaps/>
          <w:sz w:val="20"/>
          <w:szCs w:val="20"/>
        </w:rPr>
        <w:t>The Nat</w:t>
      </w:r>
      <w:r>
        <w:rPr>
          <w:rFonts w:ascii="Times" w:hAnsi="Times" w:cs="Times New Roman"/>
          <w:smallCaps/>
          <w:sz w:val="20"/>
          <w:szCs w:val="20"/>
        </w:rPr>
        <w:t>’</w:t>
      </w:r>
      <w:r w:rsidRPr="00782872">
        <w:rPr>
          <w:rFonts w:ascii="Times" w:hAnsi="Times" w:cs="Times New Roman"/>
          <w:smallCaps/>
          <w:sz w:val="20"/>
          <w:szCs w:val="20"/>
        </w:rPr>
        <w:t>l L</w:t>
      </w:r>
      <w:r>
        <w:rPr>
          <w:rFonts w:ascii="Times" w:hAnsi="Times" w:cs="Times New Roman"/>
          <w:smallCaps/>
          <w:sz w:val="20"/>
          <w:szCs w:val="20"/>
        </w:rPr>
        <w:t>. J.</w:t>
      </w:r>
      <w:r w:rsidRPr="00782872">
        <w:rPr>
          <w:rFonts w:ascii="Times" w:hAnsi="Times" w:cs="Times New Roman"/>
          <w:smallCaps/>
          <w:sz w:val="20"/>
          <w:szCs w:val="20"/>
        </w:rPr>
        <w:t xml:space="preserve"> | S</w:t>
      </w:r>
      <w:r>
        <w:rPr>
          <w:rFonts w:ascii="Times" w:hAnsi="Times" w:cs="Times New Roman"/>
          <w:smallCaps/>
          <w:sz w:val="20"/>
          <w:szCs w:val="20"/>
        </w:rPr>
        <w:t>up.</w:t>
      </w:r>
      <w:r w:rsidRPr="00782872">
        <w:rPr>
          <w:rFonts w:ascii="Times" w:hAnsi="Times" w:cs="Times New Roman"/>
          <w:smallCaps/>
          <w:sz w:val="20"/>
          <w:szCs w:val="20"/>
        </w:rPr>
        <w:t xml:space="preserve"> Ct</w:t>
      </w:r>
      <w:r>
        <w:rPr>
          <w:rFonts w:ascii="Times" w:hAnsi="Times" w:cs="Times New Roman"/>
          <w:smallCaps/>
          <w:sz w:val="20"/>
          <w:szCs w:val="20"/>
        </w:rPr>
        <w:t>.</w:t>
      </w:r>
      <w:r w:rsidRPr="00782872">
        <w:rPr>
          <w:rFonts w:ascii="Times" w:hAnsi="Times" w:cs="Times New Roman"/>
          <w:smallCaps/>
          <w:sz w:val="20"/>
          <w:szCs w:val="20"/>
        </w:rPr>
        <w:t xml:space="preserve"> Insider</w:t>
      </w:r>
      <w:r>
        <w:rPr>
          <w:rFonts w:ascii="Times" w:hAnsi="Times" w:cs="Times New Roman"/>
          <w:sz w:val="20"/>
          <w:szCs w:val="20"/>
        </w:rPr>
        <w:t xml:space="preserve">, August 24, 2011, </w:t>
      </w:r>
      <w:r w:rsidRPr="00323637">
        <w:rPr>
          <w:rFonts w:ascii="Times" w:hAnsi="Times" w:cs="Times New Roman"/>
          <w:sz w:val="20"/>
          <w:szCs w:val="20"/>
        </w:rPr>
        <w:t>http://www.nationallawjournal.com/id=1202512150444/Commentary-The-Courts-increasing-reliance-on-amicus-curiae-in-the-past-term</w:t>
      </w:r>
      <w:r>
        <w:rPr>
          <w:rFonts w:ascii="Times" w:hAnsi="Times" w:cs="Times New Roman"/>
          <w:sz w:val="20"/>
          <w:szCs w:val="20"/>
        </w:rPr>
        <w:t>.</w:t>
      </w:r>
    </w:p>
  </w:footnote>
  <w:footnote w:id="11">
    <w:p w14:paraId="4628F081" w14:textId="77777777" w:rsidR="007019A0" w:rsidRPr="00033F75" w:rsidRDefault="007019A0">
      <w:pPr>
        <w:pStyle w:val="FootnoteText"/>
        <w:rPr>
          <w:rFonts w:ascii="Times New Roman" w:hAnsi="Times New Roman" w:cs="Times New Roman"/>
          <w:sz w:val="20"/>
          <w:szCs w:val="20"/>
        </w:rPr>
      </w:pPr>
      <w:r>
        <w:rPr>
          <w:rStyle w:val="FootnoteReference"/>
        </w:rPr>
        <w:footnoteRef/>
      </w:r>
      <w:r>
        <w:t xml:space="preserve"> </w:t>
      </w:r>
      <w:r w:rsidR="001564F7" w:rsidRPr="001564F7">
        <w:rPr>
          <w:rFonts w:ascii="Times New Roman" w:hAnsi="Times New Roman" w:cs="Times New Roman"/>
          <w:i/>
          <w:sz w:val="20"/>
          <w:szCs w:val="20"/>
        </w:rPr>
        <w:t>See</w:t>
      </w:r>
      <w:r w:rsidR="001564F7" w:rsidRPr="001564F7">
        <w:rPr>
          <w:rFonts w:ascii="Times New Roman" w:hAnsi="Times New Roman" w:cs="Times New Roman"/>
          <w:sz w:val="20"/>
          <w:szCs w:val="20"/>
        </w:rPr>
        <w:t xml:space="preserve"> </w:t>
      </w:r>
      <w:r w:rsidR="001564F7" w:rsidRPr="001564F7">
        <w:rPr>
          <w:rFonts w:ascii="Times New Roman" w:hAnsi="Times New Roman" w:cs="Times New Roman"/>
          <w:smallCaps/>
          <w:sz w:val="20"/>
          <w:szCs w:val="20"/>
        </w:rPr>
        <w:t xml:space="preserve">Epstein, Lee, and Joseph F. Kobylka, The Supreme Court and Legal Change: Abortion and the Death Penalty </w:t>
      </w:r>
      <w:r w:rsidR="001564F7">
        <w:rPr>
          <w:rFonts w:ascii="Times New Roman" w:hAnsi="Times New Roman" w:cs="Times New Roman"/>
          <w:sz w:val="20"/>
          <w:szCs w:val="20"/>
        </w:rPr>
        <w:t xml:space="preserve">(1992); </w:t>
      </w:r>
      <w:r w:rsidR="00033F75">
        <w:rPr>
          <w:rFonts w:ascii="Times" w:hAnsi="Times" w:cs="Times New Roman"/>
          <w:sz w:val="20"/>
          <w:szCs w:val="20"/>
        </w:rPr>
        <w:t xml:space="preserve">Paul M. Collins, Jr., </w:t>
      </w:r>
      <w:r w:rsidR="00033F75" w:rsidRPr="00782872">
        <w:rPr>
          <w:rFonts w:ascii="Times" w:hAnsi="Times" w:cs="Times New Roman"/>
          <w:i/>
          <w:sz w:val="20"/>
          <w:szCs w:val="20"/>
        </w:rPr>
        <w:t>Friends of the Court: Examining the Influence of Amicus Curiae Participation in U.S. Supreme Court Litigation</w:t>
      </w:r>
      <w:r w:rsidR="00033F75">
        <w:rPr>
          <w:rFonts w:ascii="Times" w:hAnsi="Times" w:cs="Times New Roman"/>
          <w:sz w:val="20"/>
          <w:szCs w:val="20"/>
        </w:rPr>
        <w:t xml:space="preserve">, 38 </w:t>
      </w:r>
      <w:r w:rsidR="00033F75">
        <w:rPr>
          <w:rFonts w:ascii="Times" w:hAnsi="Times" w:cs="Times New Roman"/>
          <w:smallCaps/>
          <w:sz w:val="20"/>
          <w:szCs w:val="20"/>
        </w:rPr>
        <w:t>L. &amp; Soc. Rev.</w:t>
      </w:r>
      <w:r w:rsidR="00033F75">
        <w:rPr>
          <w:rFonts w:ascii="Times" w:hAnsi="Times" w:cs="Times New Roman"/>
          <w:sz w:val="20"/>
          <w:szCs w:val="20"/>
        </w:rPr>
        <w:t xml:space="preserve"> 807 (2004); Paul M. Collins, </w:t>
      </w:r>
      <w:r w:rsidR="00033F75" w:rsidRPr="009A24F0">
        <w:rPr>
          <w:rFonts w:ascii="Times" w:hAnsi="Times" w:cs="Times New Roman"/>
          <w:i/>
          <w:sz w:val="20"/>
          <w:szCs w:val="20"/>
        </w:rPr>
        <w:t>Lobbyists before the U.S. Supreme Court: Investigating the Influence of Amicus Curiae Briefs</w:t>
      </w:r>
      <w:r w:rsidR="00033F75">
        <w:rPr>
          <w:rFonts w:ascii="Times" w:hAnsi="Times" w:cs="Times New Roman"/>
          <w:sz w:val="20"/>
          <w:szCs w:val="20"/>
        </w:rPr>
        <w:t xml:space="preserve">, 60 </w:t>
      </w:r>
      <w:r w:rsidR="00033F75">
        <w:rPr>
          <w:rFonts w:ascii="Times" w:hAnsi="Times" w:cs="Times New Roman"/>
          <w:smallCaps/>
          <w:sz w:val="20"/>
          <w:szCs w:val="20"/>
        </w:rPr>
        <w:t>Pol.</w:t>
      </w:r>
      <w:r w:rsidR="00033F75" w:rsidRPr="009A24F0">
        <w:rPr>
          <w:rFonts w:ascii="Times" w:hAnsi="Times" w:cs="Times New Roman"/>
          <w:smallCaps/>
          <w:sz w:val="20"/>
          <w:szCs w:val="20"/>
        </w:rPr>
        <w:t xml:space="preserve"> Research Q</w:t>
      </w:r>
      <w:r w:rsidR="00033F75">
        <w:rPr>
          <w:rFonts w:ascii="Times" w:hAnsi="Times" w:cs="Times New Roman"/>
          <w:smallCaps/>
          <w:sz w:val="20"/>
          <w:szCs w:val="20"/>
        </w:rPr>
        <w:t>.</w:t>
      </w:r>
      <w:r w:rsidR="00033F75">
        <w:rPr>
          <w:rFonts w:ascii="Times" w:hAnsi="Times" w:cs="Times New Roman"/>
          <w:sz w:val="20"/>
          <w:szCs w:val="20"/>
        </w:rPr>
        <w:t xml:space="preserve"> 55 (2007); </w:t>
      </w:r>
      <w:r w:rsidR="00033F75">
        <w:rPr>
          <w:rFonts w:ascii="Times" w:hAnsi="Times"/>
          <w:sz w:val="20"/>
          <w:szCs w:val="20"/>
        </w:rPr>
        <w:t xml:space="preserve">Collins, et al., </w:t>
      </w:r>
      <w:r w:rsidR="00033F75" w:rsidRPr="00033F75">
        <w:rPr>
          <w:rFonts w:ascii="Times" w:hAnsi="Times"/>
          <w:sz w:val="20"/>
          <w:szCs w:val="20"/>
        </w:rPr>
        <w:t>Me Too?  An Investigation of Repetition in U.S. Supreme Court Amicus Curiae Briefs,</w:t>
      </w:r>
      <w:r w:rsidR="00033F75">
        <w:rPr>
          <w:rFonts w:ascii="Times" w:hAnsi="Times"/>
          <w:sz w:val="20"/>
          <w:szCs w:val="20"/>
        </w:rPr>
        <w:t xml:space="preserve"> </w:t>
      </w:r>
      <w:r w:rsidR="00033F75" w:rsidRPr="00033F75">
        <w:rPr>
          <w:rFonts w:ascii="Times" w:hAnsi="Times"/>
          <w:sz w:val="20"/>
          <w:szCs w:val="20"/>
        </w:rPr>
        <w:t>97 Judicature 228 (2014)</w:t>
      </w:r>
      <w:r w:rsidR="00033F75">
        <w:rPr>
          <w:rFonts w:ascii="Times" w:hAnsi="Times"/>
          <w:sz w:val="20"/>
          <w:szCs w:val="20"/>
        </w:rPr>
        <w:t xml:space="preserve">; </w:t>
      </w:r>
      <w:r w:rsidR="001564F7">
        <w:rPr>
          <w:rFonts w:ascii="Times New Roman" w:hAnsi="Times New Roman" w:cs="Times New Roman"/>
          <w:sz w:val="20"/>
          <w:szCs w:val="20"/>
        </w:rPr>
        <w:t xml:space="preserve">Pamela C. Corley, </w:t>
      </w:r>
      <w:r w:rsidR="001564F7" w:rsidRPr="001564F7">
        <w:rPr>
          <w:rFonts w:ascii="Times New Roman" w:hAnsi="Times New Roman" w:cs="Times New Roman"/>
          <w:i/>
          <w:sz w:val="20"/>
          <w:szCs w:val="20"/>
        </w:rPr>
        <w:t>The Supreme Court and Opinion Content: The Influence of Parties’ Briefs</w:t>
      </w:r>
      <w:r w:rsidR="001564F7">
        <w:rPr>
          <w:rFonts w:ascii="Times New Roman" w:hAnsi="Times New Roman" w:cs="Times New Roman"/>
          <w:sz w:val="20"/>
          <w:szCs w:val="20"/>
        </w:rPr>
        <w:t xml:space="preserve">, 61 </w:t>
      </w:r>
      <w:r w:rsidR="001564F7" w:rsidRPr="001564F7">
        <w:rPr>
          <w:rFonts w:ascii="Times New Roman" w:hAnsi="Times New Roman" w:cs="Times New Roman"/>
          <w:smallCaps/>
          <w:sz w:val="20"/>
          <w:szCs w:val="20"/>
        </w:rPr>
        <w:t>Pol. Research Q</w:t>
      </w:r>
      <w:r w:rsidR="001564F7">
        <w:rPr>
          <w:rFonts w:ascii="Times New Roman" w:hAnsi="Times New Roman" w:cs="Times New Roman"/>
          <w:sz w:val="20"/>
          <w:szCs w:val="20"/>
        </w:rPr>
        <w:t>.</w:t>
      </w:r>
      <w:r w:rsidR="001564F7" w:rsidRPr="001564F7">
        <w:rPr>
          <w:rFonts w:ascii="Times New Roman" w:hAnsi="Times New Roman" w:cs="Times New Roman"/>
          <w:sz w:val="20"/>
          <w:szCs w:val="20"/>
        </w:rPr>
        <w:t xml:space="preserve"> 468</w:t>
      </w:r>
      <w:r w:rsidR="001564F7">
        <w:rPr>
          <w:rFonts w:ascii="Times New Roman" w:hAnsi="Times New Roman" w:cs="Times New Roman"/>
          <w:sz w:val="20"/>
          <w:szCs w:val="20"/>
        </w:rPr>
        <w:t xml:space="preserve"> (2008)</w:t>
      </w:r>
      <w:r w:rsidRPr="001564F7">
        <w:rPr>
          <w:rFonts w:ascii="Times New Roman" w:hAnsi="Times New Roman" w:cs="Times New Roman"/>
          <w:sz w:val="20"/>
          <w:szCs w:val="20"/>
        </w:rPr>
        <w:t xml:space="preserve">; </w:t>
      </w:r>
      <w:r w:rsidR="00383212">
        <w:rPr>
          <w:rFonts w:ascii="Times New Roman" w:hAnsi="Times New Roman" w:cs="Times New Roman"/>
          <w:sz w:val="20"/>
          <w:szCs w:val="20"/>
        </w:rPr>
        <w:t xml:space="preserve">Thomas G. </w:t>
      </w:r>
      <w:r w:rsidR="00383212" w:rsidRPr="00383212">
        <w:rPr>
          <w:rFonts w:ascii="Times New Roman" w:hAnsi="Times New Roman" w:cs="Times New Roman"/>
          <w:sz w:val="20"/>
          <w:szCs w:val="20"/>
        </w:rPr>
        <w:t xml:space="preserve">Hansford, </w:t>
      </w:r>
      <w:r w:rsidR="00383212" w:rsidRPr="00383212">
        <w:rPr>
          <w:rFonts w:ascii="Times New Roman" w:hAnsi="Times New Roman" w:cs="Times New Roman"/>
          <w:i/>
          <w:sz w:val="20"/>
          <w:szCs w:val="20"/>
        </w:rPr>
        <w:t>Information Provision, Organizational Constraints, and the Decision to Submit an Amicus Curiae Brief in a U.S. Supreme Court Case</w:t>
      </w:r>
      <w:r w:rsidR="00383212">
        <w:rPr>
          <w:rFonts w:ascii="Times New Roman" w:hAnsi="Times New Roman" w:cs="Times New Roman"/>
          <w:sz w:val="20"/>
          <w:szCs w:val="20"/>
        </w:rPr>
        <w:t>,</w:t>
      </w:r>
      <w:r w:rsidR="00383212" w:rsidRPr="00383212">
        <w:rPr>
          <w:rFonts w:ascii="Times New Roman" w:hAnsi="Times New Roman" w:cs="Times New Roman"/>
          <w:i/>
          <w:sz w:val="20"/>
          <w:szCs w:val="20"/>
        </w:rPr>
        <w:t xml:space="preserve"> </w:t>
      </w:r>
      <w:r w:rsidR="00383212" w:rsidRPr="00383212">
        <w:rPr>
          <w:rFonts w:ascii="Times New Roman" w:hAnsi="Times New Roman" w:cs="Times New Roman"/>
          <w:sz w:val="20"/>
          <w:szCs w:val="20"/>
        </w:rPr>
        <w:t>57</w:t>
      </w:r>
      <w:r w:rsidR="00383212">
        <w:rPr>
          <w:rFonts w:ascii="Times New Roman" w:hAnsi="Times New Roman" w:cs="Times New Roman"/>
          <w:i/>
          <w:sz w:val="20"/>
          <w:szCs w:val="20"/>
        </w:rPr>
        <w:t xml:space="preserve"> </w:t>
      </w:r>
      <w:r w:rsidR="00383212" w:rsidRPr="00383212">
        <w:rPr>
          <w:rFonts w:ascii="Times New Roman" w:hAnsi="Times New Roman" w:cs="Times New Roman"/>
          <w:smallCaps/>
          <w:sz w:val="20"/>
          <w:szCs w:val="20"/>
        </w:rPr>
        <w:t>Pol. Research Q.</w:t>
      </w:r>
      <w:r w:rsidR="00383212" w:rsidRPr="00383212">
        <w:rPr>
          <w:rFonts w:ascii="Times New Roman" w:hAnsi="Times New Roman" w:cs="Times New Roman"/>
          <w:i/>
          <w:sz w:val="20"/>
          <w:szCs w:val="20"/>
        </w:rPr>
        <w:t xml:space="preserve"> </w:t>
      </w:r>
      <w:r w:rsidR="00383212" w:rsidRPr="00383212">
        <w:rPr>
          <w:rFonts w:ascii="Times New Roman" w:hAnsi="Times New Roman" w:cs="Times New Roman"/>
          <w:sz w:val="20"/>
          <w:szCs w:val="20"/>
        </w:rPr>
        <w:t>219</w:t>
      </w:r>
      <w:r w:rsidR="00383212">
        <w:rPr>
          <w:rFonts w:ascii="Times New Roman" w:hAnsi="Times New Roman" w:cs="Times New Roman"/>
          <w:sz w:val="20"/>
          <w:szCs w:val="20"/>
        </w:rPr>
        <w:t xml:space="preserve"> (2004); Thomas G. </w:t>
      </w:r>
      <w:r w:rsidR="00383212" w:rsidRPr="00383212">
        <w:rPr>
          <w:rFonts w:ascii="Times New Roman" w:hAnsi="Times New Roman" w:cs="Times New Roman"/>
          <w:sz w:val="20"/>
          <w:szCs w:val="20"/>
        </w:rPr>
        <w:t>Hansford</w:t>
      </w:r>
      <w:r w:rsidR="00383212">
        <w:rPr>
          <w:rFonts w:ascii="Times New Roman" w:hAnsi="Times New Roman" w:cs="Times New Roman"/>
          <w:sz w:val="20"/>
          <w:szCs w:val="20"/>
        </w:rPr>
        <w:t xml:space="preserve"> and Kristen Johnson, </w:t>
      </w:r>
      <w:r w:rsidR="00383212" w:rsidRPr="00383212">
        <w:rPr>
          <w:rFonts w:ascii="Times New Roman" w:hAnsi="Times New Roman" w:cs="Times New Roman"/>
          <w:i/>
          <w:sz w:val="20"/>
          <w:szCs w:val="20"/>
        </w:rPr>
        <w:t>The Supply of Amicus Curiae Briefs in the Market for Information at the U.S. Supreme Court</w:t>
      </w:r>
      <w:r w:rsidR="00383212">
        <w:rPr>
          <w:rFonts w:ascii="Times New Roman" w:hAnsi="Times New Roman" w:cs="Times New Roman"/>
          <w:sz w:val="20"/>
          <w:szCs w:val="20"/>
        </w:rPr>
        <w:t>,</w:t>
      </w:r>
      <w:r w:rsidR="00383212" w:rsidRPr="00383212">
        <w:rPr>
          <w:rFonts w:ascii="Times New Roman" w:hAnsi="Times New Roman" w:cs="Times New Roman"/>
          <w:sz w:val="20"/>
          <w:szCs w:val="20"/>
        </w:rPr>
        <w:t xml:space="preserve">  </w:t>
      </w:r>
      <w:r w:rsidR="00383212">
        <w:rPr>
          <w:rFonts w:ascii="Times New Roman" w:hAnsi="Times New Roman" w:cs="Times New Roman"/>
          <w:sz w:val="20"/>
          <w:szCs w:val="20"/>
        </w:rPr>
        <w:t xml:space="preserve">35 </w:t>
      </w:r>
      <w:r w:rsidR="00383212" w:rsidRPr="00383212">
        <w:rPr>
          <w:rFonts w:ascii="Times New Roman" w:hAnsi="Times New Roman" w:cs="Times New Roman"/>
          <w:smallCaps/>
          <w:sz w:val="20"/>
          <w:szCs w:val="20"/>
        </w:rPr>
        <w:t>Just. Sys. J.</w:t>
      </w:r>
      <w:r w:rsidR="00383212" w:rsidRPr="00383212">
        <w:rPr>
          <w:rFonts w:ascii="Times New Roman" w:hAnsi="Times New Roman" w:cs="Times New Roman"/>
          <w:i/>
          <w:sz w:val="20"/>
          <w:szCs w:val="20"/>
        </w:rPr>
        <w:t xml:space="preserve"> </w:t>
      </w:r>
      <w:r w:rsidR="00383212">
        <w:rPr>
          <w:rFonts w:ascii="Times New Roman" w:hAnsi="Times New Roman" w:cs="Times New Roman"/>
          <w:sz w:val="20"/>
          <w:szCs w:val="20"/>
        </w:rPr>
        <w:t xml:space="preserve">362 (2014); </w:t>
      </w:r>
      <w:r w:rsidR="00033F75">
        <w:rPr>
          <w:rFonts w:ascii="Times New Roman" w:hAnsi="Times New Roman" w:cs="Times New Roman"/>
          <w:sz w:val="20"/>
          <w:szCs w:val="20"/>
        </w:rPr>
        <w:t xml:space="preserve">Kearny &amp; Merrill, </w:t>
      </w:r>
      <w:r w:rsidR="00033F75">
        <w:rPr>
          <w:rFonts w:ascii="Times New Roman" w:hAnsi="Times New Roman" w:cs="Times New Roman"/>
          <w:i/>
          <w:sz w:val="20"/>
          <w:szCs w:val="20"/>
        </w:rPr>
        <w:t xml:space="preserve">supra </w:t>
      </w:r>
      <w:r w:rsidR="00033F75">
        <w:rPr>
          <w:rFonts w:ascii="Times New Roman" w:hAnsi="Times New Roman" w:cs="Times New Roman"/>
          <w:sz w:val="20"/>
          <w:szCs w:val="20"/>
        </w:rPr>
        <w:t>note 5;</w:t>
      </w:r>
      <w:r w:rsidR="00033F75" w:rsidRPr="00033F75">
        <w:rPr>
          <w:rFonts w:ascii="Times New Roman" w:hAnsi="Times New Roman" w:cs="Times New Roman"/>
          <w:sz w:val="20"/>
          <w:szCs w:val="20"/>
        </w:rPr>
        <w:t xml:space="preserve"> </w:t>
      </w:r>
      <w:proofErr w:type="spellStart"/>
      <w:r w:rsidR="00033F75" w:rsidRPr="001564F7">
        <w:rPr>
          <w:rFonts w:ascii="Times New Roman" w:hAnsi="Times New Roman" w:cs="Times New Roman"/>
          <w:sz w:val="20"/>
          <w:szCs w:val="20"/>
        </w:rPr>
        <w:t>Spriggs</w:t>
      </w:r>
      <w:proofErr w:type="spellEnd"/>
      <w:r w:rsidR="00033F75" w:rsidRPr="001564F7">
        <w:rPr>
          <w:rFonts w:ascii="Times New Roman" w:hAnsi="Times New Roman" w:cs="Times New Roman"/>
          <w:sz w:val="20"/>
          <w:szCs w:val="20"/>
        </w:rPr>
        <w:t xml:space="preserve"> &amp; Wahlbeck </w:t>
      </w:r>
      <w:r w:rsidR="00033F75">
        <w:rPr>
          <w:rFonts w:ascii="Times New Roman" w:hAnsi="Times New Roman" w:cs="Times New Roman"/>
          <w:i/>
          <w:sz w:val="20"/>
          <w:szCs w:val="20"/>
        </w:rPr>
        <w:t xml:space="preserve">supra </w:t>
      </w:r>
      <w:r w:rsidR="00033F75">
        <w:rPr>
          <w:rFonts w:ascii="Times New Roman" w:hAnsi="Times New Roman" w:cs="Times New Roman"/>
          <w:sz w:val="20"/>
          <w:szCs w:val="20"/>
        </w:rPr>
        <w:t>note 9</w:t>
      </w:r>
      <w:r w:rsidR="001564F7">
        <w:rPr>
          <w:rFonts w:ascii="Times New Roman" w:hAnsi="Times New Roman" w:cs="Times New Roman"/>
          <w:sz w:val="20"/>
          <w:szCs w:val="20"/>
        </w:rPr>
        <w:t>.</w:t>
      </w:r>
    </w:p>
  </w:footnote>
  <w:footnote w:id="12">
    <w:p w14:paraId="2B9F661F" w14:textId="77777777" w:rsidR="00033F75" w:rsidRPr="00383212" w:rsidRDefault="00033F75">
      <w:pPr>
        <w:pStyle w:val="FootnoteText"/>
        <w:rPr>
          <w:rFonts w:ascii="Times New Roman" w:hAnsi="Times New Roman" w:cs="Times New Roman"/>
          <w:sz w:val="20"/>
          <w:szCs w:val="20"/>
        </w:rPr>
      </w:pPr>
      <w:r w:rsidRPr="00383212">
        <w:rPr>
          <w:rStyle w:val="FootnoteReference"/>
          <w:rFonts w:ascii="Times New Roman" w:hAnsi="Times New Roman" w:cs="Times New Roman"/>
          <w:sz w:val="20"/>
          <w:szCs w:val="20"/>
        </w:rPr>
        <w:footnoteRef/>
      </w:r>
      <w:r w:rsidRPr="00383212">
        <w:rPr>
          <w:rFonts w:ascii="Times New Roman" w:hAnsi="Times New Roman" w:cs="Times New Roman"/>
          <w:sz w:val="20"/>
          <w:szCs w:val="20"/>
        </w:rPr>
        <w:t xml:space="preserve"> </w:t>
      </w:r>
      <w:r w:rsidR="00232BF2" w:rsidRPr="007E0CB4">
        <w:rPr>
          <w:rFonts w:ascii="Times" w:hAnsi="Times" w:cs="Times New Roman"/>
          <w:i/>
          <w:sz w:val="20"/>
          <w:szCs w:val="20"/>
        </w:rPr>
        <w:t xml:space="preserve">See </w:t>
      </w:r>
      <w:r w:rsidR="00232BF2" w:rsidRPr="007E0CB4">
        <w:rPr>
          <w:rFonts w:ascii="Times" w:hAnsi="Times" w:cs="Times New Roman"/>
          <w:sz w:val="20"/>
          <w:szCs w:val="20"/>
        </w:rPr>
        <w:t>Lee</w:t>
      </w:r>
      <w:r w:rsidR="00232BF2">
        <w:rPr>
          <w:rFonts w:ascii="Times" w:hAnsi="Times" w:cs="Times New Roman"/>
          <w:sz w:val="20"/>
          <w:szCs w:val="20"/>
        </w:rPr>
        <w:t xml:space="preserve"> Epstein and Jack Knight, </w:t>
      </w:r>
      <w:r w:rsidR="00232BF2" w:rsidRPr="00A37B0E">
        <w:rPr>
          <w:rFonts w:ascii="Times" w:hAnsi="Times" w:cs="Times New Roman"/>
          <w:i/>
          <w:sz w:val="20"/>
          <w:szCs w:val="20"/>
        </w:rPr>
        <w:t>Mapping Out the Strategic Terrain: The information Role of Amici Curiae</w:t>
      </w:r>
      <w:r w:rsidR="00232BF2">
        <w:rPr>
          <w:rFonts w:ascii="Times" w:hAnsi="Times" w:cs="Times New Roman"/>
          <w:sz w:val="20"/>
          <w:szCs w:val="20"/>
        </w:rPr>
        <w:t>,</w:t>
      </w:r>
      <w:r w:rsidR="00232BF2" w:rsidRPr="007E0CB4">
        <w:rPr>
          <w:rFonts w:ascii="Times" w:hAnsi="Times" w:cs="Times New Roman"/>
          <w:sz w:val="20"/>
          <w:szCs w:val="20"/>
        </w:rPr>
        <w:t xml:space="preserve"> in</w:t>
      </w:r>
      <w:r w:rsidR="00232BF2" w:rsidRPr="007E0CB4">
        <w:rPr>
          <w:rFonts w:ascii="Times" w:hAnsi="Times" w:cs="Times New Roman"/>
          <w:i/>
          <w:sz w:val="20"/>
          <w:szCs w:val="20"/>
        </w:rPr>
        <w:t xml:space="preserve"> </w:t>
      </w:r>
      <w:r w:rsidR="00232BF2" w:rsidRPr="00A37B0E">
        <w:rPr>
          <w:rFonts w:ascii="Times" w:hAnsi="Times" w:cs="Times New Roman"/>
          <w:smallCaps/>
          <w:sz w:val="20"/>
          <w:szCs w:val="20"/>
        </w:rPr>
        <w:t xml:space="preserve">Supreme Court Decision Making: New Institutional Approaches </w:t>
      </w:r>
      <w:r w:rsidR="00232BF2">
        <w:rPr>
          <w:rFonts w:ascii="Times" w:hAnsi="Times" w:cs="Times New Roman"/>
          <w:sz w:val="20"/>
          <w:szCs w:val="20"/>
        </w:rPr>
        <w:t>(C. Clayton H. Gillman, ed</w:t>
      </w:r>
      <w:r w:rsidR="00232BF2" w:rsidRPr="007E0CB4">
        <w:rPr>
          <w:rFonts w:ascii="Times" w:hAnsi="Times" w:cs="Times New Roman"/>
          <w:sz w:val="20"/>
          <w:szCs w:val="20"/>
        </w:rPr>
        <w:t>.</w:t>
      </w:r>
      <w:r w:rsidR="00232BF2">
        <w:rPr>
          <w:rFonts w:ascii="Times" w:hAnsi="Times" w:cs="Times New Roman"/>
          <w:sz w:val="20"/>
          <w:szCs w:val="20"/>
        </w:rPr>
        <w:t>, 1999)</w:t>
      </w:r>
      <w:r w:rsidRPr="00383212">
        <w:rPr>
          <w:rFonts w:ascii="Times New Roman" w:hAnsi="Times New Roman" w:cs="Times New Roman"/>
          <w:sz w:val="20"/>
          <w:szCs w:val="20"/>
        </w:rPr>
        <w:t xml:space="preserve">; </w:t>
      </w:r>
      <w:r w:rsidR="003B3A83">
        <w:rPr>
          <w:rFonts w:ascii="Times New Roman" w:hAnsi="Times New Roman" w:cs="Times New Roman"/>
          <w:sz w:val="20"/>
          <w:szCs w:val="20"/>
        </w:rPr>
        <w:t xml:space="preserve">Timothy R. Johnson, </w:t>
      </w:r>
      <w:r w:rsidR="00232BF2" w:rsidRPr="003B3A83">
        <w:rPr>
          <w:rFonts w:ascii="Times New Roman" w:hAnsi="Times New Roman" w:cs="Times New Roman"/>
          <w:i/>
          <w:sz w:val="20"/>
          <w:szCs w:val="20"/>
        </w:rPr>
        <w:t>Information, Oral Arguments, and</w:t>
      </w:r>
      <w:r w:rsidR="003B3A83" w:rsidRPr="003B3A83">
        <w:rPr>
          <w:rFonts w:ascii="Times New Roman" w:hAnsi="Times New Roman" w:cs="Times New Roman"/>
          <w:i/>
          <w:sz w:val="20"/>
          <w:szCs w:val="20"/>
        </w:rPr>
        <w:t xml:space="preserve"> Supreme Court Decision Making</w:t>
      </w:r>
      <w:r w:rsidR="003B3A83">
        <w:rPr>
          <w:rFonts w:ascii="Times New Roman" w:hAnsi="Times New Roman" w:cs="Times New Roman"/>
          <w:sz w:val="20"/>
          <w:szCs w:val="20"/>
        </w:rPr>
        <w:t>,</w:t>
      </w:r>
      <w:r w:rsidR="00232BF2" w:rsidRPr="00232BF2">
        <w:rPr>
          <w:rFonts w:ascii="Times New Roman" w:hAnsi="Times New Roman" w:cs="Times New Roman"/>
          <w:sz w:val="20"/>
          <w:szCs w:val="20"/>
        </w:rPr>
        <w:t xml:space="preserve">  </w:t>
      </w:r>
      <w:r w:rsidR="00232BF2">
        <w:rPr>
          <w:rFonts w:ascii="Times New Roman" w:hAnsi="Times New Roman" w:cs="Times New Roman"/>
          <w:sz w:val="20"/>
          <w:szCs w:val="20"/>
        </w:rPr>
        <w:t xml:space="preserve">29 </w:t>
      </w:r>
      <w:r w:rsidR="00232BF2" w:rsidRPr="003B3A83">
        <w:rPr>
          <w:rFonts w:ascii="Times New Roman" w:hAnsi="Times New Roman" w:cs="Times New Roman"/>
          <w:smallCaps/>
          <w:sz w:val="20"/>
          <w:szCs w:val="20"/>
        </w:rPr>
        <w:t>Am</w:t>
      </w:r>
      <w:r w:rsidR="003B3A83" w:rsidRPr="003B3A83">
        <w:rPr>
          <w:rFonts w:ascii="Times New Roman" w:hAnsi="Times New Roman" w:cs="Times New Roman"/>
          <w:smallCaps/>
          <w:sz w:val="20"/>
          <w:szCs w:val="20"/>
        </w:rPr>
        <w:t>.</w:t>
      </w:r>
      <w:r w:rsidR="00232BF2" w:rsidRPr="003B3A83">
        <w:rPr>
          <w:rFonts w:ascii="Times New Roman" w:hAnsi="Times New Roman" w:cs="Times New Roman"/>
          <w:smallCaps/>
          <w:sz w:val="20"/>
          <w:szCs w:val="20"/>
        </w:rPr>
        <w:t xml:space="preserve"> Pol</w:t>
      </w:r>
      <w:r w:rsidR="003B3A83" w:rsidRPr="003B3A83">
        <w:rPr>
          <w:rFonts w:ascii="Times New Roman" w:hAnsi="Times New Roman" w:cs="Times New Roman"/>
          <w:smallCaps/>
          <w:sz w:val="20"/>
          <w:szCs w:val="20"/>
        </w:rPr>
        <w:t>.</w:t>
      </w:r>
      <w:r w:rsidR="00232BF2" w:rsidRPr="003B3A83">
        <w:rPr>
          <w:rFonts w:ascii="Times New Roman" w:hAnsi="Times New Roman" w:cs="Times New Roman"/>
          <w:smallCaps/>
          <w:sz w:val="20"/>
          <w:szCs w:val="20"/>
        </w:rPr>
        <w:t xml:space="preserve"> Research</w:t>
      </w:r>
      <w:r w:rsidR="00232BF2">
        <w:rPr>
          <w:rFonts w:ascii="Times New Roman" w:hAnsi="Times New Roman" w:cs="Times New Roman"/>
          <w:sz w:val="20"/>
          <w:szCs w:val="20"/>
        </w:rPr>
        <w:t xml:space="preserve"> 331</w:t>
      </w:r>
      <w:r w:rsidR="003B3A83">
        <w:rPr>
          <w:rFonts w:ascii="Times New Roman" w:hAnsi="Times New Roman" w:cs="Times New Roman"/>
          <w:sz w:val="20"/>
          <w:szCs w:val="20"/>
        </w:rPr>
        <w:t xml:space="preserve"> (2001)</w:t>
      </w:r>
      <w:r w:rsidRPr="00383212">
        <w:rPr>
          <w:rFonts w:ascii="Times New Roman" w:hAnsi="Times New Roman" w:cs="Times New Roman"/>
          <w:sz w:val="20"/>
          <w:szCs w:val="20"/>
        </w:rPr>
        <w:t xml:space="preserve">; </w:t>
      </w:r>
      <w:r w:rsidR="00232BF2" w:rsidRPr="007E0CB4">
        <w:rPr>
          <w:rFonts w:ascii="Times" w:hAnsi="Times" w:cs="Times New Roman"/>
          <w:sz w:val="20"/>
          <w:szCs w:val="20"/>
        </w:rPr>
        <w:t>Timothy R.</w:t>
      </w:r>
      <w:r w:rsidR="00232BF2">
        <w:rPr>
          <w:rFonts w:ascii="Times" w:hAnsi="Times" w:cs="Times New Roman"/>
          <w:sz w:val="20"/>
          <w:szCs w:val="20"/>
        </w:rPr>
        <w:t xml:space="preserve"> Johnson</w:t>
      </w:r>
      <w:r w:rsidR="00232BF2" w:rsidRPr="007E0CB4">
        <w:rPr>
          <w:rFonts w:ascii="Times" w:hAnsi="Times" w:cs="Times New Roman"/>
          <w:sz w:val="20"/>
          <w:szCs w:val="20"/>
        </w:rPr>
        <w:t xml:space="preserve">, </w:t>
      </w:r>
      <w:r w:rsidR="00232BF2">
        <w:rPr>
          <w:rFonts w:ascii="Times" w:hAnsi="Times" w:cs="Times New Roman"/>
          <w:sz w:val="20"/>
          <w:szCs w:val="20"/>
        </w:rPr>
        <w:t>et al</w:t>
      </w:r>
      <w:r w:rsidR="00232BF2" w:rsidRPr="007E0CB4">
        <w:rPr>
          <w:rFonts w:ascii="Times" w:hAnsi="Times" w:cs="Times New Roman"/>
          <w:sz w:val="20"/>
          <w:szCs w:val="20"/>
        </w:rPr>
        <w:t>.</w:t>
      </w:r>
      <w:r w:rsidR="00232BF2">
        <w:rPr>
          <w:rFonts w:ascii="Times" w:hAnsi="Times" w:cs="Times New Roman"/>
          <w:sz w:val="20"/>
          <w:szCs w:val="20"/>
        </w:rPr>
        <w:t xml:space="preserve">, </w:t>
      </w:r>
      <w:r w:rsidR="00232BF2" w:rsidRPr="00B11908">
        <w:rPr>
          <w:rFonts w:ascii="Times" w:hAnsi="Times" w:cs="Times New Roman"/>
          <w:i/>
          <w:sz w:val="20"/>
          <w:szCs w:val="20"/>
        </w:rPr>
        <w:t>The Influence of Oral Arguments on the U.S. Supreme Court</w:t>
      </w:r>
      <w:r w:rsidR="00232BF2">
        <w:rPr>
          <w:rFonts w:ascii="Times" w:hAnsi="Times" w:cs="Times New Roman"/>
          <w:sz w:val="20"/>
          <w:szCs w:val="20"/>
        </w:rPr>
        <w:t xml:space="preserve">, 100 </w:t>
      </w:r>
      <w:r w:rsidR="00232BF2" w:rsidRPr="00B11908">
        <w:rPr>
          <w:rFonts w:ascii="Times" w:hAnsi="Times" w:cs="Times New Roman"/>
          <w:smallCaps/>
          <w:sz w:val="20"/>
          <w:szCs w:val="20"/>
        </w:rPr>
        <w:t>Am</w:t>
      </w:r>
      <w:r w:rsidR="00232BF2">
        <w:rPr>
          <w:rFonts w:ascii="Times" w:hAnsi="Times" w:cs="Times New Roman"/>
          <w:smallCaps/>
          <w:sz w:val="20"/>
          <w:szCs w:val="20"/>
        </w:rPr>
        <w:t>.</w:t>
      </w:r>
      <w:r w:rsidR="00232BF2" w:rsidRPr="00B11908">
        <w:rPr>
          <w:rFonts w:ascii="Times" w:hAnsi="Times" w:cs="Times New Roman"/>
          <w:smallCaps/>
          <w:sz w:val="20"/>
          <w:szCs w:val="20"/>
        </w:rPr>
        <w:t xml:space="preserve"> Pol</w:t>
      </w:r>
      <w:r w:rsidR="00232BF2">
        <w:rPr>
          <w:rFonts w:ascii="Times" w:hAnsi="Times" w:cs="Times New Roman"/>
          <w:smallCaps/>
          <w:sz w:val="20"/>
          <w:szCs w:val="20"/>
        </w:rPr>
        <w:t>.</w:t>
      </w:r>
      <w:r w:rsidR="00232BF2" w:rsidRPr="00B11908">
        <w:rPr>
          <w:rFonts w:ascii="Times" w:hAnsi="Times" w:cs="Times New Roman"/>
          <w:smallCaps/>
          <w:sz w:val="20"/>
          <w:szCs w:val="20"/>
        </w:rPr>
        <w:t xml:space="preserve"> Sci</w:t>
      </w:r>
      <w:r w:rsidR="00232BF2">
        <w:rPr>
          <w:rFonts w:ascii="Times" w:hAnsi="Times" w:cs="Times New Roman"/>
          <w:smallCaps/>
          <w:sz w:val="20"/>
          <w:szCs w:val="20"/>
        </w:rPr>
        <w:t>.</w:t>
      </w:r>
      <w:r w:rsidR="00232BF2" w:rsidRPr="00B11908">
        <w:rPr>
          <w:rFonts w:ascii="Times" w:hAnsi="Times" w:cs="Times New Roman"/>
          <w:smallCaps/>
          <w:sz w:val="20"/>
          <w:szCs w:val="20"/>
        </w:rPr>
        <w:t xml:space="preserve"> Rev</w:t>
      </w:r>
      <w:r w:rsidR="00232BF2">
        <w:rPr>
          <w:rFonts w:ascii="Times" w:hAnsi="Times" w:cs="Times New Roman"/>
          <w:smallCaps/>
          <w:sz w:val="20"/>
          <w:szCs w:val="20"/>
        </w:rPr>
        <w:t>.</w:t>
      </w:r>
      <w:r w:rsidR="00232BF2" w:rsidRPr="007E0CB4">
        <w:rPr>
          <w:rFonts w:ascii="Times" w:hAnsi="Times" w:cs="Times New Roman"/>
          <w:sz w:val="20"/>
          <w:szCs w:val="20"/>
        </w:rPr>
        <w:t xml:space="preserve"> </w:t>
      </w:r>
      <w:r w:rsidR="00232BF2">
        <w:rPr>
          <w:rFonts w:ascii="Times" w:hAnsi="Times" w:cs="Times New Roman"/>
          <w:sz w:val="20"/>
          <w:szCs w:val="20"/>
        </w:rPr>
        <w:t>99 (2006)</w:t>
      </w:r>
      <w:r w:rsidRPr="00383212">
        <w:rPr>
          <w:rFonts w:ascii="Times New Roman" w:hAnsi="Times New Roman" w:cs="Times New Roman"/>
          <w:sz w:val="20"/>
          <w:szCs w:val="20"/>
        </w:rPr>
        <w:t xml:space="preserve">; </w:t>
      </w:r>
      <w:r w:rsidR="00232BF2">
        <w:rPr>
          <w:rFonts w:ascii="Times" w:hAnsi="Times" w:cs="Times New Roman"/>
          <w:sz w:val="20"/>
          <w:szCs w:val="20"/>
        </w:rPr>
        <w:t xml:space="preserve">John </w:t>
      </w:r>
      <w:r w:rsidR="00232BF2" w:rsidRPr="007E0CB4">
        <w:rPr>
          <w:rFonts w:ascii="Times" w:hAnsi="Times" w:cs="Times New Roman"/>
          <w:sz w:val="20"/>
          <w:szCs w:val="20"/>
        </w:rPr>
        <w:t>Szmer</w:t>
      </w:r>
      <w:r w:rsidR="00232BF2">
        <w:rPr>
          <w:rFonts w:ascii="Times" w:hAnsi="Times" w:cs="Times New Roman"/>
          <w:sz w:val="20"/>
          <w:szCs w:val="20"/>
        </w:rPr>
        <w:t xml:space="preserve"> &amp; Martha Humphries Ginn, </w:t>
      </w:r>
      <w:r w:rsidR="00232BF2" w:rsidRPr="002024CE">
        <w:rPr>
          <w:rFonts w:ascii="Times" w:hAnsi="Times" w:cs="Times New Roman"/>
          <w:i/>
          <w:sz w:val="20"/>
          <w:szCs w:val="20"/>
        </w:rPr>
        <w:t>Examining the Effects of Information, Attorney Capability, and Amicus Participation on US Supreme Court Decision Making</w:t>
      </w:r>
      <w:r w:rsidR="00232BF2">
        <w:rPr>
          <w:rFonts w:ascii="Times" w:hAnsi="Times" w:cs="Times New Roman"/>
          <w:sz w:val="20"/>
          <w:szCs w:val="20"/>
        </w:rPr>
        <w:t xml:space="preserve"> </w:t>
      </w:r>
      <w:r w:rsidR="00232BF2">
        <w:rPr>
          <w:rFonts w:ascii="Times" w:hAnsi="Times" w:cs="Times New Roman"/>
          <w:smallCaps/>
          <w:sz w:val="20"/>
          <w:szCs w:val="20"/>
        </w:rPr>
        <w:t>42 Am. Pol.</w:t>
      </w:r>
      <w:r w:rsidR="00232BF2" w:rsidRPr="001E519E">
        <w:rPr>
          <w:rFonts w:ascii="Times" w:hAnsi="Times" w:cs="Times New Roman"/>
          <w:smallCaps/>
          <w:sz w:val="20"/>
          <w:szCs w:val="20"/>
        </w:rPr>
        <w:t xml:space="preserve"> Research 441</w:t>
      </w:r>
      <w:r w:rsidR="00232BF2">
        <w:rPr>
          <w:rFonts w:ascii="Times" w:hAnsi="Times" w:cs="Times New Roman"/>
          <w:i/>
          <w:sz w:val="20"/>
          <w:szCs w:val="20"/>
        </w:rPr>
        <w:t xml:space="preserve"> </w:t>
      </w:r>
      <w:r w:rsidR="00232BF2">
        <w:rPr>
          <w:rFonts w:ascii="Times" w:hAnsi="Times" w:cs="Times New Roman"/>
          <w:sz w:val="20"/>
          <w:szCs w:val="20"/>
        </w:rPr>
        <w:t>(2013).</w:t>
      </w:r>
    </w:p>
  </w:footnote>
  <w:footnote w:id="13">
    <w:p w14:paraId="1D1D8443" w14:textId="77777777" w:rsidR="004C4EC2" w:rsidRPr="009A24F0" w:rsidRDefault="004C4EC2">
      <w:pPr>
        <w:pStyle w:val="FootnoteText"/>
        <w:rPr>
          <w:rFonts w:ascii="Times" w:hAnsi="Times" w:cs="Times New Roman"/>
          <w:sz w:val="20"/>
          <w:szCs w:val="20"/>
        </w:rPr>
      </w:pPr>
      <w:r w:rsidRPr="00232BF2">
        <w:rPr>
          <w:rStyle w:val="FootnoteReference"/>
          <w:rFonts w:ascii="Times New Roman" w:hAnsi="Times New Roman" w:cs="Times New Roman"/>
          <w:sz w:val="20"/>
          <w:szCs w:val="20"/>
        </w:rPr>
        <w:footnoteRef/>
      </w:r>
      <w:r w:rsidRPr="00232BF2">
        <w:rPr>
          <w:rFonts w:ascii="Times New Roman" w:hAnsi="Times New Roman" w:cs="Times New Roman"/>
          <w:sz w:val="20"/>
          <w:szCs w:val="20"/>
        </w:rPr>
        <w:t xml:space="preserve"> </w:t>
      </w:r>
      <w:r>
        <w:rPr>
          <w:rFonts w:ascii="Times" w:hAnsi="Times" w:cs="Times New Roman"/>
          <w:sz w:val="20"/>
          <w:szCs w:val="20"/>
        </w:rPr>
        <w:t>Collins (2004)</w:t>
      </w:r>
      <w:r w:rsidR="00033F75">
        <w:rPr>
          <w:rFonts w:ascii="Times" w:hAnsi="Times" w:cs="Times New Roman"/>
          <w:sz w:val="20"/>
          <w:szCs w:val="20"/>
        </w:rPr>
        <w:t xml:space="preserve"> </w:t>
      </w:r>
      <w:r w:rsidR="00033F75">
        <w:rPr>
          <w:rFonts w:ascii="Times" w:hAnsi="Times" w:cs="Times New Roman"/>
          <w:i/>
          <w:sz w:val="20"/>
          <w:szCs w:val="20"/>
        </w:rPr>
        <w:t xml:space="preserve">supra </w:t>
      </w:r>
      <w:r w:rsidR="00033F75">
        <w:rPr>
          <w:rFonts w:ascii="Times" w:hAnsi="Times" w:cs="Times New Roman"/>
          <w:sz w:val="20"/>
          <w:szCs w:val="20"/>
        </w:rPr>
        <w:t>note 11</w:t>
      </w:r>
      <w:r>
        <w:rPr>
          <w:rFonts w:ascii="Times" w:hAnsi="Times" w:cs="Times New Roman"/>
          <w:sz w:val="20"/>
          <w:szCs w:val="20"/>
        </w:rPr>
        <w:t xml:space="preserve">; </w:t>
      </w:r>
      <w:r w:rsidR="00033F75">
        <w:rPr>
          <w:rFonts w:ascii="Times" w:hAnsi="Times" w:cs="Times New Roman"/>
          <w:sz w:val="20"/>
          <w:szCs w:val="20"/>
        </w:rPr>
        <w:t xml:space="preserve">Collins (2007) </w:t>
      </w:r>
      <w:r w:rsidR="00033F75">
        <w:rPr>
          <w:rFonts w:ascii="Times" w:hAnsi="Times" w:cs="Times New Roman"/>
          <w:i/>
          <w:sz w:val="20"/>
          <w:szCs w:val="20"/>
        </w:rPr>
        <w:t xml:space="preserve">supra </w:t>
      </w:r>
      <w:r w:rsidR="00033F75">
        <w:rPr>
          <w:rFonts w:ascii="Times" w:hAnsi="Times" w:cs="Times New Roman"/>
          <w:sz w:val="20"/>
          <w:szCs w:val="20"/>
        </w:rPr>
        <w:t>note 11.</w:t>
      </w:r>
    </w:p>
  </w:footnote>
  <w:footnote w:id="14">
    <w:p w14:paraId="1067BF61" w14:textId="77777777" w:rsidR="004C4EC2" w:rsidRPr="007E0CB4" w:rsidRDefault="004C4EC2" w:rsidP="00373163">
      <w:pPr>
        <w:pStyle w:val="FootnoteText"/>
        <w:rPr>
          <w:rFonts w:ascii="Times" w:hAnsi="Times" w:cs="Times New Roman"/>
          <w:sz w:val="20"/>
          <w:szCs w:val="20"/>
        </w:rPr>
      </w:pPr>
      <w:r w:rsidRPr="007E0CB4">
        <w:rPr>
          <w:rStyle w:val="FootnoteReference"/>
          <w:rFonts w:ascii="Times" w:hAnsi="Times" w:cs="Times New Roman"/>
          <w:sz w:val="20"/>
          <w:szCs w:val="20"/>
        </w:rPr>
        <w:footnoteRef/>
      </w:r>
      <w:r>
        <w:rPr>
          <w:rFonts w:ascii="Times" w:hAnsi="Times" w:cs="Times New Roman"/>
          <w:sz w:val="20"/>
          <w:szCs w:val="20"/>
        </w:rPr>
        <w:t xml:space="preserve"> Allison Orr Larsen &amp; Neal </w:t>
      </w:r>
      <w:proofErr w:type="spellStart"/>
      <w:r>
        <w:rPr>
          <w:rFonts w:ascii="Times" w:hAnsi="Times" w:cs="Times New Roman"/>
          <w:sz w:val="20"/>
          <w:szCs w:val="20"/>
        </w:rPr>
        <w:t>Devins</w:t>
      </w:r>
      <w:proofErr w:type="spellEnd"/>
      <w:r>
        <w:rPr>
          <w:rFonts w:ascii="Times" w:hAnsi="Times" w:cs="Times New Roman"/>
          <w:sz w:val="20"/>
          <w:szCs w:val="20"/>
        </w:rPr>
        <w:t xml:space="preserve">, </w:t>
      </w:r>
      <w:r w:rsidRPr="009A24F0">
        <w:rPr>
          <w:rFonts w:ascii="Times" w:hAnsi="Times" w:cs="Times New Roman"/>
          <w:i/>
          <w:sz w:val="20"/>
          <w:szCs w:val="20"/>
        </w:rPr>
        <w:t>The Amicus Machine</w:t>
      </w:r>
      <w:r>
        <w:rPr>
          <w:rFonts w:ascii="Times" w:hAnsi="Times" w:cs="Times New Roman"/>
          <w:sz w:val="20"/>
          <w:szCs w:val="20"/>
        </w:rPr>
        <w:t>,</w:t>
      </w:r>
      <w:r w:rsidRPr="007E0CB4">
        <w:rPr>
          <w:rFonts w:ascii="Times" w:hAnsi="Times" w:cs="Times New Roman"/>
          <w:sz w:val="20"/>
          <w:szCs w:val="20"/>
        </w:rPr>
        <w:t xml:space="preserve"> </w:t>
      </w:r>
      <w:r>
        <w:rPr>
          <w:rFonts w:ascii="Times" w:hAnsi="Times" w:cs="Times New Roman"/>
          <w:smallCaps/>
          <w:sz w:val="20"/>
          <w:szCs w:val="20"/>
        </w:rPr>
        <w:t>V</w:t>
      </w:r>
      <w:r w:rsidRPr="009A24F0">
        <w:rPr>
          <w:rFonts w:ascii="Times" w:hAnsi="Times" w:cs="Times New Roman"/>
          <w:smallCaps/>
          <w:sz w:val="20"/>
          <w:szCs w:val="20"/>
        </w:rPr>
        <w:t>a</w:t>
      </w:r>
      <w:r>
        <w:rPr>
          <w:rFonts w:ascii="Times" w:hAnsi="Times" w:cs="Times New Roman"/>
          <w:smallCaps/>
          <w:sz w:val="20"/>
          <w:szCs w:val="20"/>
        </w:rPr>
        <w:t>. L. Rev.</w:t>
      </w:r>
      <w:r>
        <w:rPr>
          <w:rFonts w:ascii="Times" w:hAnsi="Times" w:cs="Times New Roman"/>
          <w:sz w:val="20"/>
          <w:szCs w:val="20"/>
        </w:rPr>
        <w:t xml:space="preserve"> (forthcoming</w:t>
      </w:r>
      <w:r w:rsidRPr="007E0CB4">
        <w:rPr>
          <w:rFonts w:ascii="Times" w:hAnsi="Times" w:cs="Times New Roman"/>
          <w:sz w:val="20"/>
          <w:szCs w:val="20"/>
        </w:rPr>
        <w:t xml:space="preserve">); </w:t>
      </w:r>
      <w:r w:rsidRPr="007E0CB4">
        <w:rPr>
          <w:rFonts w:ascii="Times" w:hAnsi="Times" w:cs="Times New Roman"/>
          <w:i/>
          <w:sz w:val="20"/>
          <w:szCs w:val="20"/>
        </w:rPr>
        <w:t xml:space="preserve">see also </w:t>
      </w:r>
      <w:r>
        <w:rPr>
          <w:rFonts w:ascii="Times" w:hAnsi="Times" w:cs="Times New Roman"/>
          <w:sz w:val="20"/>
          <w:szCs w:val="20"/>
        </w:rPr>
        <w:t xml:space="preserve">Adam Liptak, </w:t>
      </w:r>
      <w:r w:rsidRPr="009A24F0">
        <w:rPr>
          <w:rFonts w:ascii="Times" w:hAnsi="Times" w:cs="Times New Roman"/>
          <w:i/>
          <w:sz w:val="20"/>
          <w:szCs w:val="20"/>
        </w:rPr>
        <w:t>Study Shows How Much Work It Takes to Be Supreme Court’s Friend</w:t>
      </w:r>
      <w:r>
        <w:rPr>
          <w:rFonts w:ascii="Times" w:hAnsi="Times" w:cs="Times New Roman"/>
          <w:sz w:val="20"/>
          <w:szCs w:val="20"/>
        </w:rPr>
        <w:t>,</w:t>
      </w:r>
      <w:r w:rsidRPr="007E0CB4">
        <w:rPr>
          <w:rFonts w:ascii="Times" w:hAnsi="Times" w:cs="Times New Roman"/>
          <w:sz w:val="20"/>
          <w:szCs w:val="20"/>
        </w:rPr>
        <w:t xml:space="preserve"> </w:t>
      </w:r>
      <w:r>
        <w:rPr>
          <w:rFonts w:ascii="Times" w:hAnsi="Times" w:cs="Times New Roman"/>
          <w:iCs/>
          <w:smallCaps/>
          <w:sz w:val="20"/>
          <w:szCs w:val="20"/>
        </w:rPr>
        <w:t>N.Y.</w:t>
      </w:r>
      <w:r w:rsidRPr="00677042">
        <w:rPr>
          <w:rFonts w:ascii="Times" w:hAnsi="Times" w:cs="Times New Roman"/>
          <w:iCs/>
          <w:smallCaps/>
          <w:sz w:val="20"/>
          <w:szCs w:val="20"/>
        </w:rPr>
        <w:t xml:space="preserve"> Times</w:t>
      </w:r>
      <w:r>
        <w:rPr>
          <w:rFonts w:ascii="Times" w:hAnsi="Times" w:cs="Times New Roman"/>
          <w:i/>
          <w:iCs/>
          <w:smallCaps/>
          <w:sz w:val="20"/>
          <w:szCs w:val="20"/>
        </w:rPr>
        <w:t xml:space="preserve"> </w:t>
      </w:r>
      <w:r>
        <w:rPr>
          <w:rFonts w:ascii="Times" w:hAnsi="Times" w:cs="Times New Roman"/>
          <w:iCs/>
          <w:smallCaps/>
          <w:sz w:val="20"/>
          <w:szCs w:val="20"/>
        </w:rPr>
        <w:t>(</w:t>
      </w:r>
      <w:r>
        <w:rPr>
          <w:rFonts w:ascii="Times" w:hAnsi="Times" w:cs="Times New Roman"/>
          <w:sz w:val="20"/>
          <w:szCs w:val="20"/>
        </w:rPr>
        <w:t>March 7, 2016),</w:t>
      </w:r>
      <w:r w:rsidRPr="007E0CB4">
        <w:rPr>
          <w:rFonts w:ascii="Times" w:hAnsi="Times" w:cs="Times New Roman"/>
          <w:i/>
          <w:sz w:val="20"/>
          <w:szCs w:val="20"/>
        </w:rPr>
        <w:t xml:space="preserve"> </w:t>
      </w:r>
      <w:r w:rsidRPr="007E0CB4">
        <w:rPr>
          <w:rFonts w:ascii="Times" w:hAnsi="Times" w:cs="Times New Roman"/>
          <w:sz w:val="20"/>
          <w:szCs w:val="20"/>
        </w:rPr>
        <w:t>http://nyti.ms/1U^xMZ9</w:t>
      </w:r>
      <w:r>
        <w:rPr>
          <w:rFonts w:ascii="Times" w:hAnsi="Times" w:cs="Times New Roman"/>
          <w:sz w:val="20"/>
          <w:szCs w:val="20"/>
        </w:rPr>
        <w:t>.</w:t>
      </w:r>
    </w:p>
  </w:footnote>
  <w:footnote w:id="15">
    <w:p w14:paraId="7725B930" w14:textId="77777777" w:rsidR="004C4EC2" w:rsidRPr="001E519E" w:rsidRDefault="004C4EC2" w:rsidP="001E519E">
      <w:pPr>
        <w:pStyle w:val="FootnoteText"/>
        <w:rPr>
          <w:rFonts w:ascii="Times" w:hAnsi="Times" w:cs="Times New Roman"/>
          <w:i/>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 xml:space="preserve"> </w:t>
      </w:r>
      <w:r w:rsidRPr="007E0CB4">
        <w:rPr>
          <w:rFonts w:ascii="Times" w:hAnsi="Times" w:cs="Times New Roman"/>
          <w:i/>
          <w:sz w:val="20"/>
          <w:szCs w:val="20"/>
        </w:rPr>
        <w:t xml:space="preserve">See </w:t>
      </w:r>
      <w:r>
        <w:rPr>
          <w:rFonts w:ascii="Times" w:hAnsi="Times" w:cs="Times New Roman"/>
          <w:sz w:val="20"/>
          <w:szCs w:val="20"/>
        </w:rPr>
        <w:t xml:space="preserve">Epstein </w:t>
      </w:r>
      <w:r w:rsidR="00232BF2">
        <w:rPr>
          <w:rFonts w:ascii="Times" w:hAnsi="Times" w:cs="Times New Roman"/>
          <w:sz w:val="20"/>
          <w:szCs w:val="20"/>
        </w:rPr>
        <w:t xml:space="preserve">&amp; </w:t>
      </w:r>
      <w:r>
        <w:rPr>
          <w:rFonts w:ascii="Times" w:hAnsi="Times" w:cs="Times New Roman"/>
          <w:sz w:val="20"/>
          <w:szCs w:val="20"/>
        </w:rPr>
        <w:t xml:space="preserve">Knight, </w:t>
      </w:r>
      <w:r w:rsidR="00232BF2">
        <w:rPr>
          <w:rFonts w:ascii="Times" w:hAnsi="Times" w:cs="Times New Roman"/>
          <w:i/>
          <w:sz w:val="20"/>
          <w:szCs w:val="20"/>
        </w:rPr>
        <w:t xml:space="preserve">supra </w:t>
      </w:r>
      <w:r w:rsidR="00232BF2">
        <w:rPr>
          <w:rFonts w:ascii="Times" w:hAnsi="Times" w:cs="Times New Roman"/>
          <w:sz w:val="20"/>
          <w:szCs w:val="20"/>
        </w:rPr>
        <w:t>note 12</w:t>
      </w:r>
      <w:r w:rsidRPr="007E0CB4">
        <w:rPr>
          <w:rFonts w:ascii="Times" w:hAnsi="Times" w:cs="Times New Roman"/>
          <w:sz w:val="20"/>
          <w:szCs w:val="20"/>
        </w:rPr>
        <w:t>; Co</w:t>
      </w:r>
      <w:r>
        <w:rPr>
          <w:rFonts w:ascii="Times" w:hAnsi="Times" w:cs="Times New Roman"/>
          <w:sz w:val="20"/>
          <w:szCs w:val="20"/>
        </w:rPr>
        <w:t>llins (2004)</w:t>
      </w:r>
      <w:r w:rsidR="00232BF2">
        <w:rPr>
          <w:rFonts w:ascii="Times" w:hAnsi="Times" w:cs="Times New Roman"/>
          <w:sz w:val="20"/>
          <w:szCs w:val="20"/>
        </w:rPr>
        <w:t xml:space="preserve">, </w:t>
      </w:r>
      <w:r w:rsidR="00232BF2">
        <w:rPr>
          <w:rFonts w:ascii="Times" w:hAnsi="Times" w:cs="Times New Roman"/>
          <w:i/>
          <w:sz w:val="20"/>
          <w:szCs w:val="20"/>
        </w:rPr>
        <w:t xml:space="preserve">supra </w:t>
      </w:r>
      <w:r w:rsidR="00232BF2">
        <w:rPr>
          <w:rFonts w:ascii="Times" w:hAnsi="Times" w:cs="Times New Roman"/>
          <w:sz w:val="20"/>
          <w:szCs w:val="20"/>
        </w:rPr>
        <w:t>note 11</w:t>
      </w:r>
      <w:r>
        <w:rPr>
          <w:rFonts w:ascii="Times" w:hAnsi="Times" w:cs="Times New Roman"/>
          <w:sz w:val="20"/>
          <w:szCs w:val="20"/>
        </w:rPr>
        <w:t xml:space="preserve">; </w:t>
      </w:r>
      <w:r w:rsidR="003B3A83">
        <w:rPr>
          <w:rFonts w:ascii="Times" w:hAnsi="Times" w:cs="Times New Roman"/>
          <w:sz w:val="20"/>
          <w:szCs w:val="20"/>
        </w:rPr>
        <w:t xml:space="preserve">Johnson, </w:t>
      </w:r>
      <w:r w:rsidR="003B3A83" w:rsidRPr="003B3A83">
        <w:rPr>
          <w:rFonts w:ascii="Times" w:hAnsi="Times" w:cs="Times New Roman"/>
          <w:i/>
          <w:sz w:val="20"/>
          <w:szCs w:val="20"/>
        </w:rPr>
        <w:t xml:space="preserve">supra </w:t>
      </w:r>
      <w:r w:rsidR="003B3A83" w:rsidRPr="003B3A83">
        <w:rPr>
          <w:rFonts w:ascii="Times" w:hAnsi="Times" w:cs="Times New Roman"/>
          <w:sz w:val="20"/>
          <w:szCs w:val="20"/>
        </w:rPr>
        <w:t>note 12</w:t>
      </w:r>
      <w:r>
        <w:rPr>
          <w:rFonts w:ascii="Times" w:hAnsi="Times" w:cs="Times New Roman"/>
          <w:sz w:val="20"/>
          <w:szCs w:val="20"/>
        </w:rPr>
        <w:t>; Johnson</w:t>
      </w:r>
      <w:r w:rsidR="003B3A83">
        <w:rPr>
          <w:rFonts w:ascii="Times" w:hAnsi="Times" w:cs="Times New Roman"/>
          <w:sz w:val="20"/>
          <w:szCs w:val="20"/>
        </w:rPr>
        <w:t xml:space="preserve"> et al, </w:t>
      </w:r>
      <w:r w:rsidR="003B3A83" w:rsidRPr="003B3A83">
        <w:rPr>
          <w:rFonts w:ascii="Times" w:hAnsi="Times" w:cs="Times New Roman"/>
          <w:i/>
          <w:sz w:val="20"/>
          <w:szCs w:val="20"/>
        </w:rPr>
        <w:t xml:space="preserve">supra </w:t>
      </w:r>
      <w:r w:rsidR="003B3A83" w:rsidRPr="003B3A83">
        <w:rPr>
          <w:rFonts w:ascii="Times" w:hAnsi="Times" w:cs="Times New Roman"/>
          <w:sz w:val="20"/>
          <w:szCs w:val="20"/>
        </w:rPr>
        <w:t>note 12</w:t>
      </w:r>
      <w:r w:rsidR="003B3A83">
        <w:rPr>
          <w:rFonts w:ascii="Times" w:hAnsi="Times" w:cs="Times New Roman"/>
          <w:sz w:val="20"/>
          <w:szCs w:val="20"/>
        </w:rPr>
        <w:t xml:space="preserve">; </w:t>
      </w:r>
      <w:r w:rsidRPr="007E0CB4">
        <w:rPr>
          <w:rFonts w:ascii="Times" w:hAnsi="Times" w:cs="Times New Roman"/>
          <w:sz w:val="20"/>
          <w:szCs w:val="20"/>
        </w:rPr>
        <w:t>Szmer</w:t>
      </w:r>
      <w:r>
        <w:rPr>
          <w:rFonts w:ascii="Times" w:hAnsi="Times" w:cs="Times New Roman"/>
          <w:sz w:val="20"/>
          <w:szCs w:val="20"/>
        </w:rPr>
        <w:t xml:space="preserve"> &amp; Ginn, </w:t>
      </w:r>
      <w:r w:rsidR="003B3A83" w:rsidRPr="003B3A83">
        <w:rPr>
          <w:rFonts w:ascii="Times" w:hAnsi="Times" w:cs="Times New Roman"/>
          <w:i/>
          <w:sz w:val="20"/>
          <w:szCs w:val="20"/>
        </w:rPr>
        <w:t xml:space="preserve">supra </w:t>
      </w:r>
      <w:r w:rsidR="003B3A83" w:rsidRPr="003B3A83">
        <w:rPr>
          <w:rFonts w:ascii="Times" w:hAnsi="Times" w:cs="Times New Roman"/>
          <w:sz w:val="20"/>
          <w:szCs w:val="20"/>
        </w:rPr>
        <w:t>note 12</w:t>
      </w:r>
      <w:r>
        <w:rPr>
          <w:rFonts w:ascii="Times" w:hAnsi="Times" w:cs="Times New Roman"/>
          <w:sz w:val="20"/>
          <w:szCs w:val="20"/>
        </w:rPr>
        <w:t>.</w:t>
      </w:r>
    </w:p>
  </w:footnote>
  <w:footnote w:id="16">
    <w:p w14:paraId="7D3E552E" w14:textId="77777777" w:rsidR="004C4EC2" w:rsidRPr="007E0CB4" w:rsidRDefault="004C4EC2">
      <w:pPr>
        <w:pStyle w:val="FootnoteText"/>
        <w:rPr>
          <w:rFonts w:ascii="Times" w:hAnsi="Times"/>
          <w:sz w:val="20"/>
          <w:szCs w:val="20"/>
        </w:rPr>
      </w:pPr>
      <w:r w:rsidRPr="007E0CB4">
        <w:rPr>
          <w:rStyle w:val="FootnoteReference"/>
          <w:rFonts w:ascii="Times" w:hAnsi="Times"/>
          <w:sz w:val="20"/>
          <w:szCs w:val="20"/>
        </w:rPr>
        <w:footnoteRef/>
      </w:r>
      <w:r w:rsidRPr="007E0CB4">
        <w:rPr>
          <w:rFonts w:ascii="Times" w:hAnsi="Times"/>
          <w:sz w:val="20"/>
          <w:szCs w:val="20"/>
        </w:rPr>
        <w:t xml:space="preserve"> </w:t>
      </w:r>
      <w:r>
        <w:rPr>
          <w:rFonts w:ascii="Times" w:hAnsi="Times" w:cs="Times New Roman"/>
          <w:sz w:val="20"/>
          <w:szCs w:val="20"/>
        </w:rPr>
        <w:t xml:space="preserve">Kearney &amp; Merrill, </w:t>
      </w:r>
      <w:r>
        <w:rPr>
          <w:rFonts w:ascii="Times" w:hAnsi="Times" w:cs="Times New Roman"/>
          <w:i/>
          <w:sz w:val="20"/>
          <w:szCs w:val="20"/>
        </w:rPr>
        <w:t xml:space="preserve">supra </w:t>
      </w:r>
      <w:r w:rsidRPr="007657CC">
        <w:rPr>
          <w:rFonts w:ascii="Times" w:hAnsi="Times" w:cs="Times New Roman"/>
          <w:sz w:val="20"/>
          <w:szCs w:val="20"/>
        </w:rPr>
        <w:t>note 5.</w:t>
      </w:r>
    </w:p>
  </w:footnote>
  <w:footnote w:id="17">
    <w:p w14:paraId="5B56B188" w14:textId="77777777" w:rsidR="004C4EC2" w:rsidRPr="007E0CB4" w:rsidRDefault="004C4EC2">
      <w:pPr>
        <w:pStyle w:val="FootnoteText"/>
        <w:rPr>
          <w:rFonts w:ascii="Times" w:hAnsi="Times" w:cs="Times New Roman"/>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 xml:space="preserve"> See notes 12 and 13; </w:t>
      </w:r>
      <w:r w:rsidRPr="007E0CB4">
        <w:rPr>
          <w:rFonts w:ascii="Times" w:hAnsi="Times" w:cs="Times New Roman"/>
          <w:i/>
          <w:sz w:val="20"/>
          <w:szCs w:val="20"/>
        </w:rPr>
        <w:t>but see</w:t>
      </w:r>
      <w:r>
        <w:rPr>
          <w:rFonts w:ascii="Times" w:hAnsi="Times" w:cs="Times New Roman"/>
          <w:i/>
          <w:sz w:val="20"/>
          <w:szCs w:val="20"/>
        </w:rPr>
        <w:t xml:space="preserve"> </w:t>
      </w:r>
      <w:r>
        <w:rPr>
          <w:rFonts w:ascii="Times" w:hAnsi="Times" w:cs="Times New Roman"/>
          <w:sz w:val="20"/>
          <w:szCs w:val="20"/>
        </w:rPr>
        <w:t xml:space="preserve">Collins, </w:t>
      </w:r>
      <w:r>
        <w:rPr>
          <w:rFonts w:ascii="Times" w:hAnsi="Times" w:cs="Times New Roman"/>
          <w:i/>
          <w:sz w:val="20"/>
          <w:szCs w:val="20"/>
        </w:rPr>
        <w:t xml:space="preserve">supra </w:t>
      </w:r>
      <w:r>
        <w:rPr>
          <w:rFonts w:ascii="Times" w:hAnsi="Times" w:cs="Times New Roman"/>
          <w:sz w:val="20"/>
          <w:szCs w:val="20"/>
        </w:rPr>
        <w:t xml:space="preserve">note 9 </w:t>
      </w:r>
      <w:r w:rsidRPr="007E0CB4">
        <w:rPr>
          <w:rFonts w:ascii="Times" w:hAnsi="Times" w:cs="Times New Roman"/>
          <w:sz w:val="20"/>
          <w:szCs w:val="20"/>
        </w:rPr>
        <w:t>(arguing that amicus briefs increase ambiguity and result in increased variability in decision-making).</w:t>
      </w:r>
    </w:p>
  </w:footnote>
  <w:footnote w:id="18">
    <w:p w14:paraId="27E596EF" w14:textId="77777777" w:rsidR="004C4EC2" w:rsidRPr="002E751F" w:rsidRDefault="004C4EC2" w:rsidP="00654189">
      <w:pPr>
        <w:rPr>
          <w:rFonts w:ascii="Times" w:eastAsia="Times New Roman" w:hAnsi="Times" w:cs="Times New Roman"/>
          <w:sz w:val="20"/>
          <w:szCs w:val="20"/>
        </w:rPr>
      </w:pPr>
      <w:r w:rsidRPr="007E0CB4">
        <w:rPr>
          <w:rStyle w:val="FootnoteReference"/>
          <w:rFonts w:ascii="Times" w:hAnsi="Times"/>
          <w:sz w:val="20"/>
          <w:szCs w:val="20"/>
        </w:rPr>
        <w:footnoteRef/>
      </w:r>
      <w:r w:rsidRPr="007E0CB4">
        <w:rPr>
          <w:rFonts w:ascii="Times" w:hAnsi="Times"/>
          <w:sz w:val="20"/>
          <w:szCs w:val="20"/>
        </w:rPr>
        <w:t xml:space="preserve"> </w:t>
      </w:r>
      <w:r w:rsidRPr="00654189">
        <w:rPr>
          <w:rFonts w:ascii="Times" w:hAnsi="Times"/>
          <w:smallCaps/>
          <w:sz w:val="20"/>
          <w:szCs w:val="20"/>
        </w:rPr>
        <w:t>Eileen</w:t>
      </w:r>
      <w:r>
        <w:rPr>
          <w:rFonts w:ascii="Times" w:hAnsi="Times"/>
          <w:smallCaps/>
          <w:sz w:val="20"/>
          <w:szCs w:val="20"/>
        </w:rPr>
        <w:t xml:space="preserve"> Braman.  </w:t>
      </w:r>
      <w:r w:rsidRPr="00654189">
        <w:rPr>
          <w:rFonts w:ascii="Times" w:hAnsi="Times"/>
          <w:smallCaps/>
          <w:sz w:val="20"/>
          <w:szCs w:val="20"/>
        </w:rPr>
        <w:t>Law, Politics, &amp; Perception: How policy preferences influence legal reasoning</w:t>
      </w:r>
      <w:r>
        <w:rPr>
          <w:rFonts w:ascii="Times" w:hAnsi="Times"/>
          <w:sz w:val="20"/>
          <w:szCs w:val="20"/>
        </w:rPr>
        <w:t xml:space="preserve"> (2009)</w:t>
      </w:r>
      <w:r w:rsidRPr="007E0CB4">
        <w:rPr>
          <w:rFonts w:ascii="Times" w:hAnsi="Times"/>
          <w:sz w:val="20"/>
          <w:szCs w:val="20"/>
        </w:rPr>
        <w:t xml:space="preserve">; </w:t>
      </w:r>
      <w:r w:rsidRPr="002E751F">
        <w:rPr>
          <w:rFonts w:ascii="Times" w:hAnsi="Times"/>
          <w:smallCaps/>
          <w:sz w:val="20"/>
          <w:szCs w:val="20"/>
        </w:rPr>
        <w:t xml:space="preserve">Jeffrey A. Segal &amp; Harold J. Spaeth, The Supreme Court and the Attitudinal Model Revisited </w:t>
      </w:r>
      <w:r w:rsidRPr="00654189">
        <w:rPr>
          <w:rFonts w:ascii="Times" w:hAnsi="Times"/>
          <w:sz w:val="20"/>
          <w:szCs w:val="20"/>
        </w:rPr>
        <w:t>(</w:t>
      </w:r>
      <w:r>
        <w:rPr>
          <w:rFonts w:ascii="Times" w:hAnsi="Times"/>
          <w:sz w:val="20"/>
          <w:szCs w:val="20"/>
        </w:rPr>
        <w:t xml:space="preserve">2002); </w:t>
      </w:r>
      <w:r w:rsidRPr="00654189">
        <w:rPr>
          <w:rFonts w:ascii="Times" w:eastAsia="Times New Roman" w:hAnsi="Times" w:cs="Times New Roman"/>
          <w:sz w:val="20"/>
          <w:szCs w:val="20"/>
        </w:rPr>
        <w:t xml:space="preserve">Eileen Braman &amp; Thomas E. Nelson, </w:t>
      </w:r>
      <w:r w:rsidRPr="00654189">
        <w:rPr>
          <w:rFonts w:ascii="Times" w:eastAsia="Times New Roman" w:hAnsi="Times" w:cs="Times New Roman"/>
          <w:i/>
          <w:iCs/>
          <w:sz w:val="20"/>
          <w:szCs w:val="20"/>
        </w:rPr>
        <w:t>Mechanism of Motivated Reasoning? Analogical Perception in Discrimination Disputes</w:t>
      </w:r>
      <w:r w:rsidRPr="00654189">
        <w:rPr>
          <w:rFonts w:ascii="Times" w:eastAsia="Times New Roman" w:hAnsi="Times" w:cs="Times New Roman"/>
          <w:sz w:val="20"/>
          <w:szCs w:val="20"/>
        </w:rPr>
        <w:t xml:space="preserve">, 51 </w:t>
      </w:r>
      <w:r w:rsidRPr="00654189">
        <w:rPr>
          <w:rFonts w:ascii="Times" w:eastAsia="Times New Roman" w:hAnsi="Times" w:cs="Times New Roman"/>
          <w:smallCaps/>
          <w:sz w:val="20"/>
          <w:szCs w:val="20"/>
        </w:rPr>
        <w:t>American Journal of Political Science</w:t>
      </w:r>
      <w:r>
        <w:rPr>
          <w:rFonts w:ascii="Times" w:eastAsia="Times New Roman" w:hAnsi="Times" w:cs="Times New Roman"/>
          <w:sz w:val="20"/>
          <w:szCs w:val="20"/>
        </w:rPr>
        <w:t xml:space="preserve"> 940 (2007); </w:t>
      </w:r>
      <w:r w:rsidRPr="002E751F">
        <w:rPr>
          <w:rFonts w:ascii="Times" w:eastAsia="Times New Roman" w:hAnsi="Times" w:cs="Times New Roman"/>
          <w:sz w:val="20"/>
          <w:szCs w:val="20"/>
        </w:rPr>
        <w:t xml:space="preserve">Avani Mehta Sood, </w:t>
      </w:r>
      <w:r w:rsidRPr="002E751F">
        <w:rPr>
          <w:rFonts w:ascii="Times" w:eastAsia="Times New Roman" w:hAnsi="Times" w:cs="Times New Roman"/>
          <w:i/>
          <w:iCs/>
          <w:sz w:val="20"/>
          <w:szCs w:val="20"/>
        </w:rPr>
        <w:t>Motivated Cognition in Legal Judgments—An Analytic Review</w:t>
      </w:r>
      <w:r w:rsidRPr="002E751F">
        <w:rPr>
          <w:rFonts w:ascii="Times" w:eastAsia="Times New Roman" w:hAnsi="Times" w:cs="Times New Roman"/>
          <w:sz w:val="20"/>
          <w:szCs w:val="20"/>
        </w:rPr>
        <w:t xml:space="preserve">, 9 </w:t>
      </w:r>
      <w:r>
        <w:rPr>
          <w:rFonts w:ascii="Times" w:eastAsia="Times New Roman" w:hAnsi="Times" w:cs="Times New Roman"/>
          <w:smallCaps/>
          <w:sz w:val="20"/>
          <w:szCs w:val="20"/>
        </w:rPr>
        <w:t xml:space="preserve">Ann. Rev. </w:t>
      </w:r>
      <w:r w:rsidRPr="002E751F">
        <w:rPr>
          <w:rFonts w:ascii="Times" w:eastAsia="Times New Roman" w:hAnsi="Times" w:cs="Times New Roman"/>
          <w:smallCaps/>
          <w:sz w:val="20"/>
          <w:szCs w:val="20"/>
        </w:rPr>
        <w:t xml:space="preserve">Law </w:t>
      </w:r>
      <w:r>
        <w:rPr>
          <w:rFonts w:ascii="Times" w:eastAsia="Times New Roman" w:hAnsi="Times" w:cs="Times New Roman"/>
          <w:smallCaps/>
          <w:sz w:val="20"/>
          <w:szCs w:val="20"/>
        </w:rPr>
        <w:t>&amp; Soc. Sci.</w:t>
      </w:r>
      <w:r>
        <w:rPr>
          <w:rFonts w:ascii="Times" w:eastAsia="Times New Roman" w:hAnsi="Times" w:cs="Times New Roman"/>
          <w:sz w:val="20"/>
          <w:szCs w:val="20"/>
        </w:rPr>
        <w:t xml:space="preserve"> 307–325, 307-325 (2013)</w:t>
      </w:r>
      <w:r w:rsidRPr="007E0CB4">
        <w:rPr>
          <w:rFonts w:ascii="Times" w:hAnsi="Times"/>
          <w:sz w:val="20"/>
          <w:szCs w:val="20"/>
        </w:rPr>
        <w:t xml:space="preserve">; </w:t>
      </w:r>
      <w:r w:rsidRPr="007E0CB4">
        <w:rPr>
          <w:rFonts w:ascii="Times" w:hAnsi="Times"/>
          <w:i/>
          <w:sz w:val="20"/>
          <w:szCs w:val="20"/>
        </w:rPr>
        <w:t>but see</w:t>
      </w:r>
      <w:r>
        <w:rPr>
          <w:rFonts w:ascii="Times" w:hAnsi="Times"/>
          <w:i/>
          <w:sz w:val="20"/>
          <w:szCs w:val="20"/>
        </w:rPr>
        <w:t xml:space="preserve"> </w:t>
      </w:r>
      <w:r>
        <w:rPr>
          <w:rFonts w:ascii="Times" w:hAnsi="Times"/>
          <w:sz w:val="20"/>
          <w:szCs w:val="20"/>
        </w:rPr>
        <w:t xml:space="preserve">Collins, </w:t>
      </w:r>
      <w:r>
        <w:rPr>
          <w:rFonts w:ascii="Times" w:hAnsi="Times"/>
          <w:i/>
          <w:sz w:val="20"/>
          <w:szCs w:val="20"/>
        </w:rPr>
        <w:t xml:space="preserve">supra </w:t>
      </w:r>
      <w:r>
        <w:rPr>
          <w:rFonts w:ascii="Times" w:hAnsi="Times"/>
          <w:sz w:val="20"/>
          <w:szCs w:val="20"/>
        </w:rPr>
        <w:t>note 9</w:t>
      </w:r>
      <w:r w:rsidRPr="007E0CB4">
        <w:rPr>
          <w:rFonts w:ascii="Times" w:hAnsi="Times"/>
          <w:sz w:val="20"/>
          <w:szCs w:val="20"/>
        </w:rPr>
        <w:t xml:space="preserve"> (finding that for 95% of observation justice ideology does not appear to mediate how information is processed</w:t>
      </w:r>
      <w:r>
        <w:rPr>
          <w:rFonts w:ascii="Times" w:hAnsi="Times"/>
          <w:sz w:val="20"/>
          <w:szCs w:val="20"/>
        </w:rPr>
        <w:t>);</w:t>
      </w:r>
      <w:r w:rsidRPr="007E0CB4">
        <w:rPr>
          <w:rFonts w:ascii="Times" w:hAnsi="Times"/>
          <w:i/>
          <w:sz w:val="20"/>
          <w:szCs w:val="20"/>
        </w:rPr>
        <w:t xml:space="preserve"> </w:t>
      </w:r>
      <w:r>
        <w:rPr>
          <w:rFonts w:ascii="Times" w:hAnsi="Times"/>
          <w:sz w:val="20"/>
          <w:szCs w:val="20"/>
        </w:rPr>
        <w:t xml:space="preserve">Barbara A. Spellman, </w:t>
      </w:r>
      <w:r w:rsidRPr="002E751F">
        <w:rPr>
          <w:rFonts w:ascii="Times" w:hAnsi="Times"/>
          <w:i/>
          <w:sz w:val="20"/>
          <w:szCs w:val="20"/>
        </w:rPr>
        <w:t>Judges, Expertise, and Analogy</w:t>
      </w:r>
      <w:r w:rsidRPr="007E0CB4">
        <w:rPr>
          <w:rFonts w:ascii="Times" w:hAnsi="Times"/>
          <w:sz w:val="20"/>
          <w:szCs w:val="20"/>
        </w:rPr>
        <w:t xml:space="preserve"> </w:t>
      </w:r>
      <w:r>
        <w:rPr>
          <w:rFonts w:ascii="Times" w:hAnsi="Times"/>
          <w:sz w:val="20"/>
          <w:szCs w:val="20"/>
        </w:rPr>
        <w:t>in</w:t>
      </w:r>
      <w:r w:rsidRPr="007E0CB4">
        <w:rPr>
          <w:rFonts w:ascii="Times" w:hAnsi="Times"/>
          <w:sz w:val="20"/>
          <w:szCs w:val="20"/>
        </w:rPr>
        <w:t xml:space="preserve"> </w:t>
      </w:r>
      <w:r w:rsidRPr="002E751F">
        <w:rPr>
          <w:rFonts w:ascii="Times" w:hAnsi="Times"/>
          <w:smallCaps/>
          <w:sz w:val="20"/>
          <w:szCs w:val="20"/>
        </w:rPr>
        <w:t>The Psychology of Judicial Decision Making</w:t>
      </w:r>
      <w:r>
        <w:rPr>
          <w:rFonts w:ascii="Times" w:hAnsi="Times"/>
          <w:sz w:val="20"/>
          <w:szCs w:val="20"/>
        </w:rPr>
        <w:t xml:space="preserve"> (David E. Klein </w:t>
      </w:r>
      <w:r w:rsidRPr="007E0CB4">
        <w:rPr>
          <w:rFonts w:ascii="Times" w:hAnsi="Times"/>
          <w:sz w:val="20"/>
          <w:szCs w:val="20"/>
        </w:rPr>
        <w:t>&amp; George Mitchell, eds., Oxford University Press</w:t>
      </w:r>
      <w:r>
        <w:rPr>
          <w:rFonts w:ascii="Times" w:hAnsi="Times"/>
          <w:sz w:val="20"/>
          <w:szCs w:val="20"/>
        </w:rPr>
        <w:t xml:space="preserve"> 2010)</w:t>
      </w:r>
      <w:r w:rsidRPr="007E0CB4">
        <w:rPr>
          <w:rFonts w:ascii="Times" w:hAnsi="Times"/>
          <w:sz w:val="20"/>
          <w:szCs w:val="20"/>
        </w:rPr>
        <w:t xml:space="preserve"> (arguing that bias in processing information may be a function of experience); </w:t>
      </w:r>
      <w:r>
        <w:rPr>
          <w:rFonts w:ascii="Times" w:hAnsi="Times"/>
          <w:sz w:val="20"/>
          <w:szCs w:val="20"/>
        </w:rPr>
        <w:t xml:space="preserve">Chris Guthrie, et al., </w:t>
      </w:r>
      <w:r w:rsidRPr="002E751F">
        <w:rPr>
          <w:rFonts w:ascii="Times" w:hAnsi="Times"/>
          <w:i/>
          <w:sz w:val="20"/>
          <w:szCs w:val="20"/>
        </w:rPr>
        <w:t>Inside the Judicial Mind</w:t>
      </w:r>
      <w:r>
        <w:rPr>
          <w:rFonts w:ascii="Times" w:hAnsi="Times"/>
          <w:sz w:val="20"/>
          <w:szCs w:val="20"/>
        </w:rPr>
        <w:t xml:space="preserve">, 86 </w:t>
      </w:r>
      <w:r>
        <w:rPr>
          <w:rFonts w:ascii="Times" w:hAnsi="Times"/>
          <w:iCs/>
          <w:smallCaps/>
          <w:sz w:val="20"/>
          <w:szCs w:val="20"/>
        </w:rPr>
        <w:t>Cornell L. Rev.</w:t>
      </w:r>
      <w:r>
        <w:rPr>
          <w:rFonts w:ascii="Times" w:hAnsi="Times"/>
          <w:sz w:val="20"/>
          <w:szCs w:val="20"/>
        </w:rPr>
        <w:t xml:space="preserve"> 777 (2000)</w:t>
      </w:r>
      <w:r w:rsidRPr="007E0CB4">
        <w:rPr>
          <w:rFonts w:ascii="Times" w:hAnsi="Times"/>
          <w:sz w:val="20"/>
          <w:szCs w:val="20"/>
        </w:rPr>
        <w:t xml:space="preserve"> (asserting that variation may be the result of systematic errors inherent to</w:t>
      </w:r>
      <w:r>
        <w:rPr>
          <w:rFonts w:ascii="Times" w:hAnsi="Times"/>
          <w:sz w:val="20"/>
          <w:szCs w:val="20"/>
        </w:rPr>
        <w:t xml:space="preserve"> cognition).</w:t>
      </w:r>
    </w:p>
  </w:footnote>
  <w:footnote w:id="19">
    <w:p w14:paraId="2DDC1136" w14:textId="77777777" w:rsidR="004C4EC2" w:rsidRPr="007E0CB4" w:rsidRDefault="004C4EC2" w:rsidP="00373163">
      <w:pPr>
        <w:pStyle w:val="FootnoteText"/>
        <w:rPr>
          <w:rFonts w:ascii="Times" w:hAnsi="Times"/>
          <w:sz w:val="20"/>
          <w:szCs w:val="20"/>
        </w:rPr>
      </w:pPr>
      <w:r w:rsidRPr="007E0CB4">
        <w:rPr>
          <w:rStyle w:val="FootnoteReference"/>
          <w:rFonts w:ascii="Times" w:hAnsi="Times"/>
          <w:sz w:val="20"/>
          <w:szCs w:val="20"/>
        </w:rPr>
        <w:footnoteRef/>
      </w:r>
      <w:r>
        <w:rPr>
          <w:rFonts w:ascii="Times" w:hAnsi="Times"/>
          <w:sz w:val="20"/>
          <w:szCs w:val="20"/>
        </w:rPr>
        <w:t xml:space="preserve"> </w:t>
      </w:r>
      <w:r w:rsidR="00AF3C2E">
        <w:rPr>
          <w:rFonts w:ascii="Times" w:hAnsi="Times" w:cs="Times New Roman"/>
          <w:sz w:val="20"/>
          <w:szCs w:val="20"/>
        </w:rPr>
        <w:t xml:space="preserve">Collins (2004) </w:t>
      </w:r>
      <w:r w:rsidR="00AF3C2E">
        <w:rPr>
          <w:rFonts w:ascii="Times" w:hAnsi="Times" w:cs="Times New Roman"/>
          <w:i/>
          <w:sz w:val="20"/>
          <w:szCs w:val="20"/>
        </w:rPr>
        <w:t xml:space="preserve">supra </w:t>
      </w:r>
      <w:r w:rsidR="00AF3C2E">
        <w:rPr>
          <w:rFonts w:ascii="Times" w:hAnsi="Times" w:cs="Times New Roman"/>
          <w:sz w:val="20"/>
          <w:szCs w:val="20"/>
        </w:rPr>
        <w:t>note 11</w:t>
      </w:r>
      <w:r w:rsidRPr="007E0CB4">
        <w:rPr>
          <w:rFonts w:ascii="Times" w:hAnsi="Times"/>
          <w:sz w:val="20"/>
          <w:szCs w:val="20"/>
        </w:rPr>
        <w:t>; Scott,</w:t>
      </w:r>
      <w:r>
        <w:rPr>
          <w:rFonts w:ascii="Times" w:hAnsi="Times"/>
          <w:sz w:val="20"/>
          <w:szCs w:val="20"/>
        </w:rPr>
        <w:t xml:space="preserve"> </w:t>
      </w:r>
      <w:r>
        <w:rPr>
          <w:rFonts w:ascii="Times" w:hAnsi="Times"/>
          <w:i/>
          <w:sz w:val="20"/>
          <w:szCs w:val="20"/>
        </w:rPr>
        <w:t xml:space="preserve">supra </w:t>
      </w:r>
      <w:r>
        <w:rPr>
          <w:rFonts w:ascii="Times" w:hAnsi="Times"/>
          <w:sz w:val="20"/>
          <w:szCs w:val="20"/>
        </w:rPr>
        <w:t>note 10</w:t>
      </w:r>
      <w:r w:rsidRPr="007E0CB4">
        <w:rPr>
          <w:rFonts w:ascii="Times" w:hAnsi="Times"/>
          <w:sz w:val="20"/>
          <w:szCs w:val="20"/>
        </w:rPr>
        <w:t xml:space="preserve">; </w:t>
      </w:r>
      <w:r>
        <w:rPr>
          <w:rFonts w:ascii="Times" w:hAnsi="Times"/>
          <w:sz w:val="20"/>
          <w:szCs w:val="20"/>
        </w:rPr>
        <w:t xml:space="preserve">Linda S. Simard, </w:t>
      </w:r>
      <w:r w:rsidRPr="00C86C94">
        <w:rPr>
          <w:rFonts w:ascii="Times" w:hAnsi="Times"/>
          <w:i/>
          <w:sz w:val="20"/>
          <w:szCs w:val="20"/>
        </w:rPr>
        <w:t xml:space="preserve">Empirical Study of Amici Curiae in Federal Court: A Fine Balance of Access, Efficiency, and </w:t>
      </w:r>
      <w:proofErr w:type="spellStart"/>
      <w:r w:rsidRPr="00C86C94">
        <w:rPr>
          <w:rFonts w:ascii="Times" w:hAnsi="Times"/>
          <w:i/>
          <w:sz w:val="20"/>
          <w:szCs w:val="20"/>
        </w:rPr>
        <w:t>Adversarialism</w:t>
      </w:r>
      <w:proofErr w:type="spellEnd"/>
      <w:r>
        <w:rPr>
          <w:rFonts w:ascii="Times" w:hAnsi="Times"/>
          <w:sz w:val="20"/>
          <w:szCs w:val="20"/>
        </w:rPr>
        <w:t xml:space="preserve">, 27 </w:t>
      </w:r>
      <w:r>
        <w:rPr>
          <w:rFonts w:ascii="Times" w:hAnsi="Times"/>
          <w:smallCaps/>
          <w:sz w:val="20"/>
          <w:szCs w:val="20"/>
        </w:rPr>
        <w:t>Rev. Lit.</w:t>
      </w:r>
      <w:r>
        <w:rPr>
          <w:rFonts w:ascii="Times" w:hAnsi="Times"/>
          <w:sz w:val="20"/>
          <w:szCs w:val="20"/>
        </w:rPr>
        <w:t xml:space="preserve"> </w:t>
      </w:r>
      <w:r w:rsidRPr="007E0CB4">
        <w:rPr>
          <w:rFonts w:ascii="Times" w:hAnsi="Times"/>
          <w:sz w:val="20"/>
          <w:szCs w:val="20"/>
        </w:rPr>
        <w:t>669</w:t>
      </w:r>
      <w:r>
        <w:rPr>
          <w:rFonts w:ascii="Times" w:hAnsi="Times"/>
          <w:sz w:val="20"/>
          <w:szCs w:val="20"/>
        </w:rPr>
        <w:t xml:space="preserve"> (2007)</w:t>
      </w:r>
      <w:r w:rsidRPr="007E0CB4">
        <w:rPr>
          <w:rFonts w:ascii="Times" w:hAnsi="Times"/>
          <w:sz w:val="20"/>
          <w:szCs w:val="20"/>
        </w:rPr>
        <w:t>.</w:t>
      </w:r>
    </w:p>
  </w:footnote>
  <w:footnote w:id="20">
    <w:p w14:paraId="6E8D1BE8" w14:textId="77777777" w:rsidR="004C4EC2" w:rsidRPr="007E0CB4" w:rsidRDefault="004C4EC2">
      <w:pPr>
        <w:pStyle w:val="FootnoteText"/>
        <w:rPr>
          <w:rFonts w:ascii="Times" w:hAnsi="Times"/>
          <w:sz w:val="20"/>
          <w:szCs w:val="20"/>
        </w:rPr>
      </w:pPr>
      <w:r w:rsidRPr="007E0CB4">
        <w:rPr>
          <w:rStyle w:val="FootnoteReference"/>
          <w:rFonts w:ascii="Times" w:hAnsi="Times"/>
          <w:sz w:val="20"/>
          <w:szCs w:val="20"/>
        </w:rPr>
        <w:footnoteRef/>
      </w:r>
      <w:r w:rsidRPr="007E0CB4">
        <w:rPr>
          <w:rFonts w:ascii="Times" w:hAnsi="Times"/>
          <w:sz w:val="20"/>
          <w:szCs w:val="20"/>
        </w:rPr>
        <w:t xml:space="preserve"> </w:t>
      </w:r>
      <w:r>
        <w:rPr>
          <w:rFonts w:ascii="Times" w:hAnsi="Times" w:cs="Times New Roman"/>
          <w:sz w:val="20"/>
          <w:szCs w:val="20"/>
        </w:rPr>
        <w:t xml:space="preserve">Kearney &amp; Merrill, </w:t>
      </w:r>
      <w:r>
        <w:rPr>
          <w:rFonts w:ascii="Times" w:hAnsi="Times" w:cs="Times New Roman"/>
          <w:i/>
          <w:sz w:val="20"/>
          <w:szCs w:val="20"/>
        </w:rPr>
        <w:t xml:space="preserve">supra </w:t>
      </w:r>
      <w:r w:rsidRPr="007657CC">
        <w:rPr>
          <w:rFonts w:ascii="Times" w:hAnsi="Times" w:cs="Times New Roman"/>
          <w:sz w:val="20"/>
          <w:szCs w:val="20"/>
        </w:rPr>
        <w:t>note 5.</w:t>
      </w:r>
    </w:p>
  </w:footnote>
  <w:footnote w:id="21">
    <w:p w14:paraId="36748493" w14:textId="77777777" w:rsidR="004C4EC2" w:rsidRPr="009C5D48" w:rsidRDefault="004C4EC2" w:rsidP="009C5D48">
      <w:pPr>
        <w:rPr>
          <w:rFonts w:ascii="Times" w:eastAsia="Times New Roman" w:hAnsi="Times" w:cs="Times New Roman"/>
          <w:sz w:val="20"/>
          <w:szCs w:val="20"/>
        </w:rPr>
      </w:pPr>
      <w:r w:rsidRPr="007E0CB4">
        <w:rPr>
          <w:rStyle w:val="FootnoteReference"/>
          <w:rFonts w:ascii="Times" w:hAnsi="Times"/>
          <w:sz w:val="20"/>
          <w:szCs w:val="20"/>
        </w:rPr>
        <w:footnoteRef/>
      </w:r>
      <w:r w:rsidRPr="007E0CB4">
        <w:rPr>
          <w:rFonts w:ascii="Times" w:hAnsi="Times"/>
          <w:i/>
          <w:sz w:val="20"/>
          <w:szCs w:val="20"/>
        </w:rPr>
        <w:t>See</w:t>
      </w:r>
      <w:r w:rsidRPr="007E0CB4">
        <w:rPr>
          <w:rFonts w:ascii="Times" w:hAnsi="Times"/>
          <w:sz w:val="20"/>
          <w:szCs w:val="20"/>
        </w:rPr>
        <w:t xml:space="preserve"> </w:t>
      </w:r>
      <w:r w:rsidR="00AF3C2E">
        <w:rPr>
          <w:rFonts w:ascii="Times" w:hAnsi="Times" w:cs="Times New Roman"/>
          <w:sz w:val="20"/>
          <w:szCs w:val="20"/>
        </w:rPr>
        <w:t xml:space="preserve">Collins (2004) </w:t>
      </w:r>
      <w:r w:rsidR="00AF3C2E">
        <w:rPr>
          <w:rFonts w:ascii="Times" w:hAnsi="Times" w:cs="Times New Roman"/>
          <w:i/>
          <w:sz w:val="20"/>
          <w:szCs w:val="20"/>
        </w:rPr>
        <w:t xml:space="preserve">supra </w:t>
      </w:r>
      <w:r w:rsidR="00AF3C2E">
        <w:rPr>
          <w:rFonts w:ascii="Times" w:hAnsi="Times" w:cs="Times New Roman"/>
          <w:sz w:val="20"/>
          <w:szCs w:val="20"/>
        </w:rPr>
        <w:t>note 11</w:t>
      </w:r>
      <w:r w:rsidRPr="007E0CB4">
        <w:rPr>
          <w:rFonts w:ascii="Times" w:hAnsi="Times"/>
          <w:sz w:val="20"/>
          <w:szCs w:val="20"/>
        </w:rPr>
        <w:t xml:space="preserve">; </w:t>
      </w:r>
      <w:r>
        <w:rPr>
          <w:rFonts w:ascii="Times" w:hAnsi="Times"/>
          <w:sz w:val="20"/>
          <w:szCs w:val="20"/>
        </w:rPr>
        <w:t>Collins, et al</w:t>
      </w:r>
      <w:r w:rsidR="00033F75">
        <w:rPr>
          <w:rFonts w:ascii="Times" w:hAnsi="Times"/>
          <w:sz w:val="20"/>
          <w:szCs w:val="20"/>
        </w:rPr>
        <w:t xml:space="preserve">., </w:t>
      </w:r>
      <w:r w:rsidR="00033F75">
        <w:rPr>
          <w:rFonts w:ascii="Times" w:hAnsi="Times"/>
          <w:i/>
          <w:sz w:val="20"/>
          <w:szCs w:val="20"/>
        </w:rPr>
        <w:t xml:space="preserve">supra </w:t>
      </w:r>
      <w:r w:rsidR="00033F75">
        <w:rPr>
          <w:rFonts w:ascii="Times" w:hAnsi="Times"/>
          <w:sz w:val="20"/>
          <w:szCs w:val="20"/>
        </w:rPr>
        <w:t>note 11</w:t>
      </w:r>
      <w:r w:rsidRPr="007E0CB4">
        <w:rPr>
          <w:rFonts w:ascii="Times" w:hAnsi="Times"/>
          <w:sz w:val="20"/>
          <w:szCs w:val="20"/>
        </w:rPr>
        <w:t xml:space="preserve">; </w:t>
      </w:r>
      <w:r>
        <w:rPr>
          <w:rFonts w:ascii="Times" w:hAnsi="Times" w:cs="Times New Roman"/>
          <w:sz w:val="20"/>
          <w:szCs w:val="20"/>
        </w:rPr>
        <w:t xml:space="preserve">Kearney &amp; Merrill, </w:t>
      </w:r>
      <w:r>
        <w:rPr>
          <w:rFonts w:ascii="Times" w:hAnsi="Times" w:cs="Times New Roman"/>
          <w:i/>
          <w:sz w:val="20"/>
          <w:szCs w:val="20"/>
        </w:rPr>
        <w:t xml:space="preserve">supra </w:t>
      </w:r>
      <w:r w:rsidRPr="007657CC">
        <w:rPr>
          <w:rFonts w:ascii="Times" w:hAnsi="Times" w:cs="Times New Roman"/>
          <w:sz w:val="20"/>
          <w:szCs w:val="20"/>
        </w:rPr>
        <w:t>note 5</w:t>
      </w:r>
      <w:r w:rsidRPr="007E0CB4">
        <w:rPr>
          <w:rFonts w:ascii="Times" w:hAnsi="Times"/>
          <w:sz w:val="20"/>
          <w:szCs w:val="20"/>
        </w:rPr>
        <w:t xml:space="preserve">; </w:t>
      </w:r>
      <w:r w:rsidRPr="009C5D48">
        <w:rPr>
          <w:rFonts w:ascii="Times" w:eastAsia="Times New Roman" w:hAnsi="Times" w:cs="Times New Roman"/>
          <w:sz w:val="20"/>
          <w:szCs w:val="20"/>
        </w:rPr>
        <w:t xml:space="preserve">Claire B. Wofford, </w:t>
      </w:r>
      <w:r w:rsidRPr="009C5D48">
        <w:rPr>
          <w:rFonts w:ascii="Times" w:eastAsia="Times New Roman" w:hAnsi="Times" w:cs="Times New Roman"/>
          <w:i/>
          <w:iCs/>
          <w:sz w:val="20"/>
          <w:szCs w:val="20"/>
        </w:rPr>
        <w:t>Assessing the Anecdotes: Amicus Curiae, Legal Rules, and the U.S. Supreme Court</w:t>
      </w:r>
      <w:r w:rsidRPr="009C5D48">
        <w:rPr>
          <w:rFonts w:ascii="Times" w:eastAsia="Times New Roman" w:hAnsi="Times" w:cs="Times New Roman"/>
          <w:sz w:val="20"/>
          <w:szCs w:val="20"/>
        </w:rPr>
        <w:t xml:space="preserve">, 36 </w:t>
      </w:r>
      <w:r w:rsidRPr="009C5D48">
        <w:rPr>
          <w:rFonts w:ascii="Times" w:eastAsia="Times New Roman" w:hAnsi="Times" w:cs="Times New Roman"/>
          <w:smallCaps/>
          <w:sz w:val="20"/>
          <w:szCs w:val="20"/>
        </w:rPr>
        <w:t>Just</w:t>
      </w:r>
      <w:r>
        <w:rPr>
          <w:rFonts w:ascii="Times" w:eastAsia="Times New Roman" w:hAnsi="Times" w:cs="Times New Roman"/>
          <w:smallCaps/>
          <w:sz w:val="20"/>
          <w:szCs w:val="20"/>
        </w:rPr>
        <w:t>.</w:t>
      </w:r>
      <w:r w:rsidRPr="009C5D48">
        <w:rPr>
          <w:rFonts w:ascii="Times" w:eastAsia="Times New Roman" w:hAnsi="Times" w:cs="Times New Roman"/>
          <w:smallCaps/>
          <w:sz w:val="20"/>
          <w:szCs w:val="20"/>
        </w:rPr>
        <w:t xml:space="preserve"> Sys</w:t>
      </w:r>
      <w:r>
        <w:rPr>
          <w:rFonts w:ascii="Times" w:eastAsia="Times New Roman" w:hAnsi="Times" w:cs="Times New Roman"/>
          <w:smallCaps/>
          <w:sz w:val="20"/>
          <w:szCs w:val="20"/>
        </w:rPr>
        <w:t>.</w:t>
      </w:r>
      <w:r w:rsidRPr="009C5D48">
        <w:rPr>
          <w:rFonts w:ascii="Times" w:eastAsia="Times New Roman" w:hAnsi="Times" w:cs="Times New Roman"/>
          <w:smallCaps/>
          <w:sz w:val="20"/>
          <w:szCs w:val="20"/>
        </w:rPr>
        <w:t xml:space="preserve"> J</w:t>
      </w:r>
      <w:r>
        <w:rPr>
          <w:rFonts w:ascii="Times" w:eastAsia="Times New Roman" w:hAnsi="Times" w:cs="Times New Roman"/>
          <w:smallCaps/>
          <w:sz w:val="20"/>
          <w:szCs w:val="20"/>
        </w:rPr>
        <w:t>.</w:t>
      </w:r>
      <w:r w:rsidRPr="009C5D48">
        <w:rPr>
          <w:rFonts w:ascii="Times" w:eastAsia="Times New Roman" w:hAnsi="Times" w:cs="Times New Roman"/>
          <w:sz w:val="20"/>
          <w:szCs w:val="20"/>
        </w:rPr>
        <w:t xml:space="preserve"> 274–294, 274-294 (2015). </w:t>
      </w:r>
    </w:p>
  </w:footnote>
  <w:footnote w:id="22">
    <w:p w14:paraId="2F0EC775" w14:textId="77777777" w:rsidR="004C4EC2" w:rsidRPr="00F950F7" w:rsidRDefault="004C4EC2" w:rsidP="009C5D48">
      <w:pPr>
        <w:pStyle w:val="FootnoteText"/>
        <w:rPr>
          <w:rFonts w:ascii="Times" w:hAnsi="Times"/>
          <w:i/>
          <w:sz w:val="20"/>
          <w:szCs w:val="20"/>
        </w:rPr>
      </w:pPr>
      <w:r w:rsidRPr="007E0CB4">
        <w:rPr>
          <w:rStyle w:val="FootnoteReference"/>
          <w:rFonts w:ascii="Times" w:hAnsi="Times"/>
          <w:sz w:val="20"/>
          <w:szCs w:val="20"/>
        </w:rPr>
        <w:footnoteRef/>
      </w:r>
      <w:r w:rsidRPr="007E0CB4">
        <w:rPr>
          <w:rFonts w:ascii="Times" w:hAnsi="Times"/>
          <w:sz w:val="20"/>
          <w:szCs w:val="20"/>
        </w:rPr>
        <w:t xml:space="preserve"> This theory and corresponding empirical results are particularly interesting in light of the stress placed on the importance of new information in amicus briefs found in both the Supreme Court’s rules (Rule 37) and guides for writing effective amicus briefs.  </w:t>
      </w:r>
      <w:r>
        <w:rPr>
          <w:rFonts w:ascii="Times" w:hAnsi="Times"/>
          <w:i/>
          <w:sz w:val="20"/>
          <w:szCs w:val="20"/>
        </w:rPr>
        <w:t xml:space="preserve"> See </w:t>
      </w:r>
      <w:r w:rsidRPr="009C5D48">
        <w:rPr>
          <w:rFonts w:ascii="Times" w:hAnsi="Times"/>
          <w:smallCaps/>
          <w:sz w:val="20"/>
          <w:szCs w:val="20"/>
        </w:rPr>
        <w:t>Antonin Scalia &amp; Bryan A. Garner, Making your case: the art of persuading judges</w:t>
      </w:r>
      <w:r w:rsidRPr="009C5D48">
        <w:rPr>
          <w:rFonts w:ascii="Times" w:hAnsi="Times"/>
          <w:i/>
          <w:sz w:val="20"/>
          <w:szCs w:val="20"/>
        </w:rPr>
        <w:t xml:space="preserve"> </w:t>
      </w:r>
      <w:r>
        <w:rPr>
          <w:rFonts w:ascii="Times" w:hAnsi="Times"/>
          <w:sz w:val="20"/>
          <w:szCs w:val="20"/>
        </w:rPr>
        <w:t xml:space="preserve">(2008); Kelly J. Lynch. </w:t>
      </w:r>
      <w:r w:rsidRPr="00F950F7">
        <w:rPr>
          <w:rFonts w:ascii="Times" w:hAnsi="Times"/>
          <w:i/>
          <w:sz w:val="20"/>
          <w:szCs w:val="20"/>
        </w:rPr>
        <w:t>Best Friends</w:t>
      </w:r>
      <w:proofErr w:type="gramStart"/>
      <w:r w:rsidRPr="00F950F7">
        <w:rPr>
          <w:rFonts w:ascii="Times" w:hAnsi="Times"/>
          <w:i/>
          <w:sz w:val="20"/>
          <w:szCs w:val="20"/>
        </w:rPr>
        <w:t>?:</w:t>
      </w:r>
      <w:proofErr w:type="gramEnd"/>
      <w:r w:rsidRPr="00F950F7">
        <w:rPr>
          <w:rFonts w:ascii="Times" w:hAnsi="Times"/>
          <w:i/>
          <w:sz w:val="20"/>
          <w:szCs w:val="20"/>
        </w:rPr>
        <w:t xml:space="preserve"> Supreme Court Law Clerks on Effective Amicus Curiae Briefs</w:t>
      </w:r>
      <w:r>
        <w:rPr>
          <w:rFonts w:ascii="Times" w:hAnsi="Times"/>
          <w:sz w:val="20"/>
          <w:szCs w:val="20"/>
        </w:rPr>
        <w:t>,</w:t>
      </w:r>
      <w:r w:rsidRPr="007E0CB4">
        <w:rPr>
          <w:rFonts w:ascii="Times" w:hAnsi="Times"/>
          <w:sz w:val="20"/>
          <w:szCs w:val="20"/>
        </w:rPr>
        <w:t xml:space="preserve"> </w:t>
      </w:r>
      <w:r>
        <w:rPr>
          <w:rFonts w:ascii="Times" w:hAnsi="Times"/>
          <w:sz w:val="20"/>
          <w:szCs w:val="20"/>
        </w:rPr>
        <w:t xml:space="preserve">20 </w:t>
      </w:r>
      <w:r w:rsidRPr="00F950F7">
        <w:rPr>
          <w:rFonts w:ascii="Times" w:hAnsi="Times"/>
          <w:sz w:val="20"/>
          <w:szCs w:val="20"/>
        </w:rPr>
        <w:t xml:space="preserve">J. L. &amp; Pol. </w:t>
      </w:r>
      <w:r w:rsidRPr="007E0CB4">
        <w:rPr>
          <w:rFonts w:ascii="Times" w:hAnsi="Times"/>
          <w:sz w:val="20"/>
          <w:szCs w:val="20"/>
        </w:rPr>
        <w:t>33</w:t>
      </w:r>
      <w:r>
        <w:rPr>
          <w:rFonts w:ascii="Times" w:hAnsi="Times"/>
          <w:sz w:val="20"/>
          <w:szCs w:val="20"/>
        </w:rPr>
        <w:t xml:space="preserve"> (2004)</w:t>
      </w:r>
      <w:r w:rsidRPr="007E0CB4">
        <w:rPr>
          <w:rFonts w:ascii="Times" w:hAnsi="Times"/>
          <w:sz w:val="20"/>
          <w:szCs w:val="20"/>
        </w:rPr>
        <w:t xml:space="preserve">. </w:t>
      </w:r>
    </w:p>
  </w:footnote>
  <w:footnote w:id="23">
    <w:p w14:paraId="650694FD" w14:textId="77777777" w:rsidR="003E29FF" w:rsidRPr="003E29FF" w:rsidRDefault="003E29FF">
      <w:pPr>
        <w:pStyle w:val="FootnoteText"/>
        <w:rPr>
          <w:rFonts w:ascii="Times New Roman" w:hAnsi="Times New Roman" w:cs="Times New Roman"/>
          <w:sz w:val="20"/>
          <w:szCs w:val="20"/>
        </w:rPr>
      </w:pPr>
      <w:r w:rsidRPr="003E29FF">
        <w:rPr>
          <w:rStyle w:val="FootnoteReference"/>
          <w:rFonts w:ascii="Times New Roman" w:hAnsi="Times New Roman" w:cs="Times New Roman"/>
          <w:sz w:val="20"/>
          <w:szCs w:val="20"/>
        </w:rPr>
        <w:footnoteRef/>
      </w:r>
      <w:r w:rsidRPr="003E29FF">
        <w:rPr>
          <w:rFonts w:ascii="Times New Roman" w:hAnsi="Times New Roman" w:cs="Times New Roman"/>
          <w:sz w:val="20"/>
          <w:szCs w:val="20"/>
        </w:rPr>
        <w:t xml:space="preserve"> Based on </w:t>
      </w:r>
      <w:r>
        <w:rPr>
          <w:rFonts w:ascii="Times New Roman" w:hAnsi="Times New Roman" w:cs="Times New Roman"/>
          <w:sz w:val="20"/>
          <w:szCs w:val="20"/>
        </w:rPr>
        <w:t>work we have done assessing the completeness of the Westlaw database in years immediately preceding the Roberts Court, we estimate that this database is 95% complete.</w:t>
      </w:r>
    </w:p>
  </w:footnote>
  <w:footnote w:id="24">
    <w:p w14:paraId="488EA4AC" w14:textId="77777777" w:rsidR="004C4EC2" w:rsidRPr="007E0CB4" w:rsidRDefault="004C4EC2">
      <w:pPr>
        <w:pStyle w:val="FootnoteText"/>
        <w:rPr>
          <w:rFonts w:ascii="Times" w:hAnsi="Times"/>
          <w:sz w:val="20"/>
          <w:szCs w:val="20"/>
        </w:rPr>
      </w:pPr>
      <w:r w:rsidRPr="007E0CB4">
        <w:rPr>
          <w:rStyle w:val="FootnoteReference"/>
          <w:rFonts w:ascii="Times" w:hAnsi="Times"/>
          <w:sz w:val="20"/>
          <w:szCs w:val="20"/>
        </w:rPr>
        <w:footnoteRef/>
      </w:r>
      <w:r w:rsidRPr="007E0CB4">
        <w:rPr>
          <w:rFonts w:ascii="Times" w:hAnsi="Times"/>
          <w:sz w:val="20"/>
          <w:szCs w:val="20"/>
        </w:rPr>
        <w:t xml:space="preserve"> Harold J. Spaeth, </w:t>
      </w:r>
      <w:r>
        <w:rPr>
          <w:rFonts w:ascii="Times" w:hAnsi="Times"/>
          <w:sz w:val="20"/>
          <w:szCs w:val="20"/>
        </w:rPr>
        <w:t>et al</w:t>
      </w:r>
      <w:r w:rsidRPr="007E0CB4">
        <w:rPr>
          <w:rFonts w:ascii="Times" w:hAnsi="Times"/>
          <w:sz w:val="20"/>
          <w:szCs w:val="20"/>
        </w:rPr>
        <w:t>.</w:t>
      </w:r>
      <w:r w:rsidR="00AF3C2E">
        <w:rPr>
          <w:rFonts w:ascii="Times" w:hAnsi="Times"/>
          <w:sz w:val="20"/>
          <w:szCs w:val="20"/>
        </w:rPr>
        <w:t>,</w:t>
      </w:r>
      <w:r w:rsidRPr="007E0CB4">
        <w:rPr>
          <w:rFonts w:ascii="Times" w:hAnsi="Times"/>
          <w:sz w:val="20"/>
          <w:szCs w:val="20"/>
        </w:rPr>
        <w:t xml:space="preserve"> 2016 Supreme Court Database</w:t>
      </w:r>
      <w:r w:rsidR="00AF3C2E">
        <w:rPr>
          <w:rFonts w:ascii="Times" w:hAnsi="Times"/>
          <w:sz w:val="20"/>
          <w:szCs w:val="20"/>
        </w:rPr>
        <w:t>, Version 2016 Release 01,</w:t>
      </w:r>
      <w:r>
        <w:rPr>
          <w:rFonts w:ascii="Times" w:hAnsi="Times"/>
          <w:sz w:val="20"/>
          <w:szCs w:val="20"/>
        </w:rPr>
        <w:t xml:space="preserve"> </w:t>
      </w:r>
      <w:r w:rsidRPr="007E0CB4">
        <w:rPr>
          <w:rFonts w:ascii="Times" w:hAnsi="Times"/>
          <w:sz w:val="20"/>
          <w:szCs w:val="20"/>
        </w:rPr>
        <w:t>http://Supremecourtdatabase.org</w:t>
      </w:r>
      <w:r w:rsidR="00AF3C2E">
        <w:rPr>
          <w:rFonts w:ascii="Times" w:hAnsi="Times"/>
          <w:sz w:val="20"/>
          <w:szCs w:val="20"/>
        </w:rPr>
        <w:t>.</w:t>
      </w:r>
    </w:p>
  </w:footnote>
  <w:footnote w:id="25">
    <w:p w14:paraId="23503081" w14:textId="77777777" w:rsidR="004C4EC2" w:rsidRPr="00654189" w:rsidRDefault="004C4EC2" w:rsidP="00654189">
      <w:pPr>
        <w:rPr>
          <w:rFonts w:ascii="Times" w:eastAsia="Times New Roman" w:hAnsi="Times" w:cs="Times New Roman"/>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 xml:space="preserve"> </w:t>
      </w:r>
      <w:r w:rsidRPr="00654189">
        <w:rPr>
          <w:rFonts w:ascii="Times" w:hAnsi="Times" w:cs="Times New Roman"/>
          <w:smallCaps/>
          <w:sz w:val="20"/>
          <w:szCs w:val="20"/>
        </w:rPr>
        <w:t xml:space="preserve">John D. Huber &amp; Charles R. </w:t>
      </w:r>
      <w:proofErr w:type="spellStart"/>
      <w:r w:rsidRPr="00654189">
        <w:rPr>
          <w:rFonts w:ascii="Times" w:hAnsi="Times" w:cs="Times New Roman"/>
          <w:smallCaps/>
          <w:sz w:val="20"/>
          <w:szCs w:val="20"/>
        </w:rPr>
        <w:t>Shipan</w:t>
      </w:r>
      <w:proofErr w:type="spellEnd"/>
      <w:r w:rsidRPr="00654189">
        <w:rPr>
          <w:rFonts w:ascii="Times" w:hAnsi="Times" w:cs="Times New Roman"/>
          <w:smallCaps/>
          <w:sz w:val="20"/>
          <w:szCs w:val="20"/>
        </w:rPr>
        <w:t>, Deliberate Discretion: the institutional foundations of bureaucratic autonomy</w:t>
      </w:r>
      <w:r w:rsidRPr="00654189">
        <w:rPr>
          <w:rFonts w:ascii="Times" w:hAnsi="Times" w:cs="Times New Roman"/>
          <w:sz w:val="20"/>
          <w:szCs w:val="20"/>
        </w:rPr>
        <w:t xml:space="preserve"> (</w:t>
      </w:r>
      <w:r>
        <w:rPr>
          <w:rFonts w:ascii="Times" w:hAnsi="Times" w:cs="Times New Roman"/>
          <w:sz w:val="20"/>
          <w:szCs w:val="20"/>
        </w:rPr>
        <w:t xml:space="preserve">2002); </w:t>
      </w:r>
      <w:r w:rsidRPr="00654189">
        <w:rPr>
          <w:rFonts w:ascii="Times" w:eastAsia="Times New Roman" w:hAnsi="Times" w:cs="Times New Roman"/>
          <w:sz w:val="20"/>
          <w:szCs w:val="20"/>
        </w:rPr>
        <w:t xml:space="preserve">John D. Huber, Charles R. </w:t>
      </w:r>
      <w:proofErr w:type="spellStart"/>
      <w:r w:rsidRPr="00654189">
        <w:rPr>
          <w:rFonts w:ascii="Times" w:eastAsia="Times New Roman" w:hAnsi="Times" w:cs="Times New Roman"/>
          <w:sz w:val="20"/>
          <w:szCs w:val="20"/>
        </w:rPr>
        <w:t>Shipan</w:t>
      </w:r>
      <w:proofErr w:type="spellEnd"/>
      <w:r w:rsidRPr="00654189">
        <w:rPr>
          <w:rFonts w:ascii="Times" w:eastAsia="Times New Roman" w:hAnsi="Times" w:cs="Times New Roman"/>
          <w:sz w:val="20"/>
          <w:szCs w:val="20"/>
        </w:rPr>
        <w:t xml:space="preserve"> &amp; Madelaine </w:t>
      </w:r>
      <w:proofErr w:type="spellStart"/>
      <w:r w:rsidRPr="00654189">
        <w:rPr>
          <w:rFonts w:ascii="Times" w:eastAsia="Times New Roman" w:hAnsi="Times" w:cs="Times New Roman"/>
          <w:sz w:val="20"/>
          <w:szCs w:val="20"/>
        </w:rPr>
        <w:t>Pfahler</w:t>
      </w:r>
      <w:proofErr w:type="spellEnd"/>
      <w:r w:rsidRPr="00654189">
        <w:rPr>
          <w:rFonts w:ascii="Times" w:eastAsia="Times New Roman" w:hAnsi="Times" w:cs="Times New Roman"/>
          <w:sz w:val="20"/>
          <w:szCs w:val="20"/>
        </w:rPr>
        <w:t xml:space="preserve">, </w:t>
      </w:r>
      <w:r w:rsidRPr="00654189">
        <w:rPr>
          <w:rFonts w:ascii="Times" w:eastAsia="Times New Roman" w:hAnsi="Times" w:cs="Times New Roman"/>
          <w:i/>
          <w:iCs/>
          <w:sz w:val="20"/>
          <w:szCs w:val="20"/>
        </w:rPr>
        <w:t>Legislatures and Statutory Control of Bureaucracy</w:t>
      </w:r>
      <w:r w:rsidRPr="00654189">
        <w:rPr>
          <w:rFonts w:ascii="Times" w:eastAsia="Times New Roman" w:hAnsi="Times" w:cs="Times New Roman"/>
          <w:sz w:val="20"/>
          <w:szCs w:val="20"/>
        </w:rPr>
        <w:t xml:space="preserve">, 45 </w:t>
      </w:r>
      <w:r w:rsidRPr="00654189">
        <w:rPr>
          <w:rFonts w:ascii="Times" w:eastAsia="Times New Roman" w:hAnsi="Times" w:cs="Times New Roman"/>
          <w:smallCaps/>
          <w:sz w:val="20"/>
          <w:szCs w:val="20"/>
        </w:rPr>
        <w:t>Am</w:t>
      </w:r>
      <w:r>
        <w:rPr>
          <w:rFonts w:ascii="Times" w:eastAsia="Times New Roman" w:hAnsi="Times" w:cs="Times New Roman"/>
          <w:smallCaps/>
          <w:sz w:val="20"/>
          <w:szCs w:val="20"/>
        </w:rPr>
        <w:t>.</w:t>
      </w:r>
      <w:r w:rsidR="00AF3C2E">
        <w:rPr>
          <w:rFonts w:ascii="Times" w:eastAsia="Times New Roman" w:hAnsi="Times" w:cs="Times New Roman"/>
          <w:smallCaps/>
          <w:sz w:val="20"/>
          <w:szCs w:val="20"/>
        </w:rPr>
        <w:t xml:space="preserve"> </w:t>
      </w:r>
      <w:r w:rsidRPr="00654189">
        <w:rPr>
          <w:rFonts w:ascii="Times" w:eastAsia="Times New Roman" w:hAnsi="Times" w:cs="Times New Roman"/>
          <w:smallCaps/>
          <w:sz w:val="20"/>
          <w:szCs w:val="20"/>
        </w:rPr>
        <w:t>J</w:t>
      </w:r>
      <w:r>
        <w:rPr>
          <w:rFonts w:ascii="Times" w:eastAsia="Times New Roman" w:hAnsi="Times" w:cs="Times New Roman"/>
          <w:smallCaps/>
          <w:sz w:val="20"/>
          <w:szCs w:val="20"/>
        </w:rPr>
        <w:t>.</w:t>
      </w:r>
      <w:r w:rsidRPr="00654189">
        <w:rPr>
          <w:rFonts w:ascii="Times" w:eastAsia="Times New Roman" w:hAnsi="Times" w:cs="Times New Roman"/>
          <w:smallCaps/>
          <w:sz w:val="20"/>
          <w:szCs w:val="20"/>
        </w:rPr>
        <w:t xml:space="preserve"> of </w:t>
      </w:r>
      <w:proofErr w:type="spellStart"/>
      <w:r w:rsidRPr="00654189">
        <w:rPr>
          <w:rFonts w:ascii="Times" w:eastAsia="Times New Roman" w:hAnsi="Times" w:cs="Times New Roman"/>
          <w:smallCaps/>
          <w:sz w:val="20"/>
          <w:szCs w:val="20"/>
        </w:rPr>
        <w:t>Poli</w:t>
      </w:r>
      <w:proofErr w:type="spellEnd"/>
      <w:r>
        <w:rPr>
          <w:rFonts w:ascii="Times" w:eastAsia="Times New Roman" w:hAnsi="Times" w:cs="Times New Roman"/>
          <w:smallCaps/>
          <w:sz w:val="20"/>
          <w:szCs w:val="20"/>
        </w:rPr>
        <w:t>.</w:t>
      </w:r>
      <w:r w:rsidRPr="00654189">
        <w:rPr>
          <w:rFonts w:ascii="Times" w:eastAsia="Times New Roman" w:hAnsi="Times" w:cs="Times New Roman"/>
          <w:smallCaps/>
          <w:sz w:val="20"/>
          <w:szCs w:val="20"/>
        </w:rPr>
        <w:t xml:space="preserve"> Sci</w:t>
      </w:r>
      <w:r>
        <w:rPr>
          <w:rFonts w:ascii="Times" w:eastAsia="Times New Roman" w:hAnsi="Times" w:cs="Times New Roman"/>
          <w:smallCaps/>
          <w:sz w:val="20"/>
          <w:szCs w:val="20"/>
        </w:rPr>
        <w:t>.</w:t>
      </w:r>
      <w:r w:rsidRPr="00654189">
        <w:rPr>
          <w:rFonts w:ascii="Times" w:eastAsia="Times New Roman" w:hAnsi="Times" w:cs="Times New Roman"/>
          <w:sz w:val="20"/>
          <w:szCs w:val="20"/>
        </w:rPr>
        <w:t xml:space="preserve"> 330, 330 (2001). </w:t>
      </w:r>
    </w:p>
  </w:footnote>
  <w:footnote w:id="26">
    <w:p w14:paraId="56618C6B" w14:textId="77777777" w:rsidR="004C4EC2" w:rsidRPr="00383212" w:rsidRDefault="004C4EC2" w:rsidP="00383212">
      <w:pPr>
        <w:rPr>
          <w:rFonts w:ascii="Times" w:eastAsia="Times New Roman" w:hAnsi="Times" w:cs="Times New Roman"/>
          <w:sz w:val="20"/>
          <w:szCs w:val="20"/>
        </w:rPr>
      </w:pPr>
      <w:r w:rsidRPr="007E0CB4">
        <w:rPr>
          <w:rStyle w:val="FootnoteReference"/>
          <w:rFonts w:ascii="Times" w:hAnsi="Times" w:cs="Times New Roman"/>
          <w:sz w:val="20"/>
          <w:szCs w:val="20"/>
        </w:rPr>
        <w:footnoteRef/>
      </w:r>
      <w:r>
        <w:rPr>
          <w:rFonts w:ascii="Times" w:hAnsi="Times" w:cs="Times New Roman"/>
          <w:i/>
          <w:sz w:val="20"/>
          <w:szCs w:val="20"/>
        </w:rPr>
        <w:t>S</w:t>
      </w:r>
      <w:r w:rsidRPr="007E0CB4">
        <w:rPr>
          <w:rFonts w:ascii="Times" w:hAnsi="Times" w:cs="Times New Roman"/>
          <w:i/>
          <w:sz w:val="20"/>
          <w:szCs w:val="20"/>
        </w:rPr>
        <w:t xml:space="preserve">ee, e.g., </w:t>
      </w:r>
      <w:r>
        <w:rPr>
          <w:rFonts w:ascii="Times" w:hAnsi="Times" w:cs="Times New Roman"/>
          <w:sz w:val="20"/>
          <w:szCs w:val="20"/>
        </w:rPr>
        <w:t xml:space="preserve">Collins, </w:t>
      </w:r>
      <w:r>
        <w:rPr>
          <w:rFonts w:ascii="Times" w:hAnsi="Times" w:cs="Times New Roman"/>
          <w:i/>
          <w:sz w:val="20"/>
          <w:szCs w:val="20"/>
        </w:rPr>
        <w:t xml:space="preserve">supra </w:t>
      </w:r>
      <w:r>
        <w:rPr>
          <w:rFonts w:ascii="Times" w:hAnsi="Times" w:cs="Times New Roman"/>
          <w:sz w:val="20"/>
          <w:szCs w:val="20"/>
        </w:rPr>
        <w:t>note 9</w:t>
      </w:r>
      <w:r w:rsidRPr="007E0CB4">
        <w:rPr>
          <w:rFonts w:ascii="Times" w:hAnsi="Times" w:cs="Times New Roman"/>
          <w:sz w:val="20"/>
          <w:szCs w:val="20"/>
        </w:rPr>
        <w:t xml:space="preserve">; </w:t>
      </w:r>
      <w:r w:rsidRPr="00F950F7">
        <w:rPr>
          <w:rFonts w:ascii="Times" w:eastAsia="Times New Roman" w:hAnsi="Times" w:cs="Times New Roman"/>
          <w:smallCaps/>
          <w:sz w:val="20"/>
          <w:szCs w:val="20"/>
        </w:rPr>
        <w:t xml:space="preserve">Thomas G. Hansford &amp; James F. </w:t>
      </w:r>
      <w:proofErr w:type="spellStart"/>
      <w:r w:rsidRPr="00F950F7">
        <w:rPr>
          <w:rFonts w:ascii="Times" w:eastAsia="Times New Roman" w:hAnsi="Times" w:cs="Times New Roman"/>
          <w:smallCaps/>
          <w:sz w:val="20"/>
          <w:szCs w:val="20"/>
        </w:rPr>
        <w:t>Spriggs</w:t>
      </w:r>
      <w:proofErr w:type="spellEnd"/>
      <w:r w:rsidRPr="00F950F7">
        <w:rPr>
          <w:rFonts w:ascii="Times" w:eastAsia="Times New Roman" w:hAnsi="Times" w:cs="Times New Roman"/>
          <w:sz w:val="20"/>
          <w:szCs w:val="20"/>
        </w:rPr>
        <w:t xml:space="preserve">, </w:t>
      </w:r>
      <w:r w:rsidRPr="00F950F7">
        <w:rPr>
          <w:rFonts w:ascii="Times" w:eastAsia="Times New Roman" w:hAnsi="Times" w:cs="Times New Roman"/>
          <w:smallCaps/>
          <w:sz w:val="20"/>
          <w:szCs w:val="20"/>
        </w:rPr>
        <w:t>The politics of precedent on the U.S. Supreme Court</w:t>
      </w:r>
      <w:r w:rsidRPr="00F950F7">
        <w:rPr>
          <w:rFonts w:ascii="Times" w:eastAsia="Times New Roman" w:hAnsi="Times" w:cs="Times New Roman"/>
          <w:sz w:val="20"/>
          <w:szCs w:val="20"/>
        </w:rPr>
        <w:t xml:space="preserve"> (2006). </w:t>
      </w:r>
    </w:p>
  </w:footnote>
  <w:footnote w:id="27">
    <w:p w14:paraId="7754D09D" w14:textId="77777777" w:rsidR="004C4EC2" w:rsidRPr="007E0CB4" w:rsidRDefault="004C4EC2">
      <w:pPr>
        <w:pStyle w:val="FootnoteText"/>
        <w:rPr>
          <w:rFonts w:ascii="Times" w:hAnsi="Times" w:cs="Times New Roman"/>
          <w:sz w:val="20"/>
          <w:szCs w:val="20"/>
        </w:rPr>
      </w:pPr>
      <w:r w:rsidRPr="007E0CB4">
        <w:rPr>
          <w:rStyle w:val="FootnoteReference"/>
          <w:rFonts w:ascii="Times" w:hAnsi="Times" w:cs="Times New Roman"/>
          <w:sz w:val="20"/>
          <w:szCs w:val="20"/>
        </w:rPr>
        <w:footnoteRef/>
      </w:r>
      <w:r w:rsidRPr="007E0CB4">
        <w:rPr>
          <w:rFonts w:ascii="Times" w:hAnsi="Times" w:cs="Times New Roman"/>
          <w:sz w:val="20"/>
          <w:szCs w:val="20"/>
        </w:rPr>
        <w:t>A python script was used to extract all text strings matching the format of a citation to a U.S. Supreme Court case. Extracted cites were compared against a list of valid citations to Supreme Court cases decided on the merits, and only validated citations were</w:t>
      </w:r>
      <w:r>
        <w:rPr>
          <w:rFonts w:ascii="Times" w:hAnsi="Times" w:cs="Times New Roman"/>
          <w:sz w:val="20"/>
          <w:szCs w:val="20"/>
        </w:rPr>
        <w:t xml:space="preserve"> used</w:t>
      </w:r>
      <w:r w:rsidRPr="007E0CB4">
        <w:rPr>
          <w:rFonts w:ascii="Times" w:hAnsi="Times" w:cs="Times New Roman"/>
          <w:sz w:val="20"/>
          <w:szCs w:val="20"/>
        </w:rPr>
        <w:t>.</w:t>
      </w:r>
    </w:p>
  </w:footnote>
  <w:footnote w:id="28">
    <w:p w14:paraId="0BD41EE2" w14:textId="77777777" w:rsidR="004C4EC2" w:rsidRPr="00DB5713" w:rsidRDefault="004C4EC2" w:rsidP="001E6697">
      <w:pPr>
        <w:pStyle w:val="FootnoteText"/>
        <w:rPr>
          <w:rFonts w:ascii="Times" w:hAnsi="Times" w:cs="Times New Roman"/>
          <w:sz w:val="20"/>
          <w:szCs w:val="20"/>
        </w:rPr>
      </w:pPr>
      <w:r w:rsidRPr="00DB5713">
        <w:rPr>
          <w:rStyle w:val="FootnoteReference"/>
          <w:rFonts w:ascii="Times" w:hAnsi="Times" w:cs="Times New Roman"/>
          <w:sz w:val="20"/>
          <w:szCs w:val="20"/>
        </w:rPr>
        <w:footnoteRef/>
      </w:r>
      <w:r w:rsidRPr="00DB5713">
        <w:rPr>
          <w:rFonts w:ascii="Times" w:hAnsi="Times" w:cs="Times New Roman"/>
          <w:sz w:val="20"/>
          <w:szCs w:val="20"/>
        </w:rPr>
        <w:t xml:space="preserve"> </w:t>
      </w:r>
      <w:r>
        <w:rPr>
          <w:rFonts w:ascii="Times" w:hAnsi="Times" w:cs="Times New Roman"/>
          <w:sz w:val="20"/>
          <w:szCs w:val="20"/>
        </w:rPr>
        <w:t>For convenience, the number of unique words</w:t>
      </w:r>
      <w:r w:rsidRPr="00DB5713">
        <w:rPr>
          <w:rFonts w:ascii="Times" w:hAnsi="Times" w:cs="Times New Roman"/>
          <w:sz w:val="20"/>
          <w:szCs w:val="20"/>
        </w:rPr>
        <w:t xml:space="preserve"> on each side is normalized by one thousand, and the number of unique cases cited on each side is normali</w:t>
      </w:r>
      <w:r>
        <w:rPr>
          <w:rFonts w:ascii="Times" w:hAnsi="Times" w:cs="Times New Roman"/>
          <w:sz w:val="20"/>
          <w:szCs w:val="20"/>
        </w:rPr>
        <w:t>zed by one hundred</w:t>
      </w:r>
      <w:r w:rsidRPr="00DB5713">
        <w:rPr>
          <w:rFonts w:ascii="Times" w:hAnsi="Times" w:cs="Times New Roman"/>
          <w:sz w:val="20"/>
          <w:szCs w:val="20"/>
        </w:rPr>
        <w:t>.</w:t>
      </w:r>
    </w:p>
  </w:footnote>
  <w:footnote w:id="29">
    <w:p w14:paraId="63B183B7" w14:textId="77777777" w:rsidR="004C4EC2" w:rsidRPr="001D5A32" w:rsidRDefault="004C4EC2" w:rsidP="001D5A32">
      <w:pPr>
        <w:pStyle w:val="FootnoteText"/>
        <w:rPr>
          <w:rFonts w:ascii="Times" w:hAnsi="Times"/>
          <w:sz w:val="20"/>
          <w:szCs w:val="20"/>
        </w:rPr>
      </w:pPr>
      <w:r w:rsidRPr="007E0CB4">
        <w:rPr>
          <w:rStyle w:val="FootnoteReference"/>
          <w:rFonts w:ascii="Times" w:hAnsi="Times"/>
          <w:sz w:val="20"/>
          <w:szCs w:val="20"/>
        </w:rPr>
        <w:footnoteRef/>
      </w:r>
      <w:r>
        <w:rPr>
          <w:rFonts w:ascii="Times" w:hAnsi="Times"/>
          <w:sz w:val="20"/>
          <w:szCs w:val="20"/>
        </w:rPr>
        <w:t xml:space="preserve"> </w:t>
      </w:r>
      <w:r w:rsidRPr="007E0CB4">
        <w:rPr>
          <w:rFonts w:ascii="Times" w:hAnsi="Times"/>
          <w:sz w:val="20"/>
          <w:szCs w:val="20"/>
        </w:rPr>
        <w:t>Andrew D.</w:t>
      </w:r>
      <w:r>
        <w:rPr>
          <w:rFonts w:ascii="Times" w:hAnsi="Times"/>
          <w:sz w:val="20"/>
          <w:szCs w:val="20"/>
        </w:rPr>
        <w:t xml:space="preserve"> Martin &amp;</w:t>
      </w:r>
      <w:r w:rsidRPr="007E0CB4">
        <w:rPr>
          <w:rFonts w:ascii="Times" w:hAnsi="Times"/>
          <w:sz w:val="20"/>
          <w:szCs w:val="20"/>
        </w:rPr>
        <w:t xml:space="preserve"> Kevin M. Quinn</w:t>
      </w:r>
      <w:r>
        <w:rPr>
          <w:rFonts w:ascii="Times" w:hAnsi="Times"/>
          <w:sz w:val="20"/>
          <w:szCs w:val="20"/>
        </w:rPr>
        <w:t xml:space="preserve">, </w:t>
      </w:r>
      <w:r w:rsidRPr="00654189">
        <w:rPr>
          <w:rFonts w:ascii="Times" w:hAnsi="Times"/>
          <w:bCs/>
          <w:i/>
          <w:iCs/>
          <w:sz w:val="20"/>
          <w:szCs w:val="20"/>
        </w:rPr>
        <w:t>Dynamic Ideal Point Estimation via Markov Chain Monte Carlo for the U.S. Supreme Court, 1953-1999</w:t>
      </w:r>
      <w:r w:rsidRPr="00654189">
        <w:rPr>
          <w:rFonts w:ascii="Times" w:hAnsi="Times"/>
          <w:bCs/>
          <w:sz w:val="20"/>
          <w:szCs w:val="20"/>
        </w:rPr>
        <w:t>, 10 </w:t>
      </w:r>
      <w:r w:rsidRPr="00654189">
        <w:rPr>
          <w:rFonts w:ascii="Times" w:hAnsi="Times"/>
          <w:smallCaps/>
          <w:sz w:val="20"/>
          <w:szCs w:val="20"/>
        </w:rPr>
        <w:t>Pol</w:t>
      </w:r>
      <w:r>
        <w:rPr>
          <w:rFonts w:ascii="Times" w:hAnsi="Times"/>
          <w:smallCaps/>
          <w:sz w:val="20"/>
          <w:szCs w:val="20"/>
        </w:rPr>
        <w:t>.</w:t>
      </w:r>
      <w:r w:rsidRPr="00654189">
        <w:rPr>
          <w:rFonts w:ascii="Times" w:hAnsi="Times"/>
          <w:smallCaps/>
          <w:sz w:val="20"/>
          <w:szCs w:val="20"/>
        </w:rPr>
        <w:t xml:space="preserve"> Analysis</w:t>
      </w:r>
      <w:r w:rsidRPr="00654189">
        <w:rPr>
          <w:rFonts w:ascii="Times" w:hAnsi="Times"/>
          <w:bCs/>
          <w:sz w:val="20"/>
          <w:szCs w:val="20"/>
        </w:rPr>
        <w:t> 134 (2002).</w:t>
      </w:r>
    </w:p>
    <w:p w14:paraId="2C16E57D" w14:textId="77777777" w:rsidR="004C4EC2" w:rsidRPr="007E0CB4" w:rsidRDefault="004C4EC2">
      <w:pPr>
        <w:pStyle w:val="FootnoteText"/>
        <w:rPr>
          <w:rFonts w:ascii="Times" w:hAnsi="Times"/>
          <w:sz w:val="20"/>
          <w:szCs w:val="20"/>
        </w:rPr>
      </w:pPr>
    </w:p>
  </w:footnote>
  <w:footnote w:id="30">
    <w:p w14:paraId="056EB65E" w14:textId="77777777" w:rsidR="004C4EC2" w:rsidRPr="007E0CB4" w:rsidRDefault="004C4EC2">
      <w:pPr>
        <w:pStyle w:val="FootnoteText"/>
        <w:rPr>
          <w:rFonts w:ascii="Times" w:hAnsi="Times"/>
          <w:sz w:val="20"/>
          <w:szCs w:val="20"/>
        </w:rPr>
      </w:pPr>
      <w:r w:rsidRPr="007E0CB4">
        <w:rPr>
          <w:rStyle w:val="FootnoteReference"/>
          <w:rFonts w:ascii="Times" w:hAnsi="Times"/>
          <w:sz w:val="20"/>
          <w:szCs w:val="20"/>
        </w:rPr>
        <w:footnoteRef/>
      </w:r>
      <w:r w:rsidRPr="007E0CB4">
        <w:rPr>
          <w:rFonts w:ascii="Times" w:hAnsi="Times"/>
          <w:sz w:val="20"/>
          <w:szCs w:val="20"/>
        </w:rPr>
        <w:t xml:space="preserve"> The numbers for percentiles of </w:t>
      </w:r>
      <w:r>
        <w:rPr>
          <w:rFonts w:ascii="Times" w:hAnsi="Times"/>
          <w:sz w:val="20"/>
          <w:szCs w:val="20"/>
        </w:rPr>
        <w:t xml:space="preserve">the </w:t>
      </w:r>
      <w:r w:rsidRPr="007E0CB4">
        <w:rPr>
          <w:rFonts w:ascii="Times" w:hAnsi="Times"/>
          <w:sz w:val="20"/>
          <w:szCs w:val="20"/>
        </w:rPr>
        <w:t>distribution indicate the values for each variable when the observations are ordered from lowest to highest.  Specifically, the values at the bottom quarter</w:t>
      </w:r>
      <w:r>
        <w:rPr>
          <w:rFonts w:ascii="Times" w:hAnsi="Times"/>
          <w:sz w:val="20"/>
          <w:szCs w:val="20"/>
        </w:rPr>
        <w:t xml:space="preserve"> (25%)</w:t>
      </w:r>
      <w:r w:rsidRPr="007E0CB4">
        <w:rPr>
          <w:rFonts w:ascii="Times" w:hAnsi="Times"/>
          <w:sz w:val="20"/>
          <w:szCs w:val="20"/>
        </w:rPr>
        <w:t>, median</w:t>
      </w:r>
      <w:r>
        <w:rPr>
          <w:rFonts w:ascii="Times" w:hAnsi="Times"/>
          <w:sz w:val="20"/>
          <w:szCs w:val="20"/>
        </w:rPr>
        <w:t xml:space="preserve"> (50%)</w:t>
      </w:r>
      <w:r w:rsidRPr="007E0CB4">
        <w:rPr>
          <w:rFonts w:ascii="Times" w:hAnsi="Times"/>
          <w:sz w:val="20"/>
          <w:szCs w:val="20"/>
        </w:rPr>
        <w:t>, and top quarter</w:t>
      </w:r>
      <w:r>
        <w:rPr>
          <w:rFonts w:ascii="Times" w:hAnsi="Times"/>
          <w:sz w:val="20"/>
          <w:szCs w:val="20"/>
        </w:rPr>
        <w:t xml:space="preserve"> (75%)</w:t>
      </w:r>
      <w:r w:rsidRPr="007E0CB4">
        <w:rPr>
          <w:rFonts w:ascii="Times" w:hAnsi="Times"/>
          <w:sz w:val="20"/>
          <w:szCs w:val="20"/>
        </w:rPr>
        <w:t xml:space="preserve"> are provided.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E5D"/>
    <w:multiLevelType w:val="hybridMultilevel"/>
    <w:tmpl w:val="0F2A2C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80C91"/>
    <w:multiLevelType w:val="hybridMultilevel"/>
    <w:tmpl w:val="F9C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85A18"/>
    <w:multiLevelType w:val="hybridMultilevel"/>
    <w:tmpl w:val="21AAF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95B92"/>
    <w:multiLevelType w:val="hybridMultilevel"/>
    <w:tmpl w:val="6038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67A5D"/>
    <w:multiLevelType w:val="hybridMultilevel"/>
    <w:tmpl w:val="BEE04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791E78"/>
    <w:multiLevelType w:val="hybridMultilevel"/>
    <w:tmpl w:val="4818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12D6E"/>
    <w:multiLevelType w:val="hybridMultilevel"/>
    <w:tmpl w:val="5A7231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1459B"/>
    <w:multiLevelType w:val="hybridMultilevel"/>
    <w:tmpl w:val="2CB6CA98"/>
    <w:lvl w:ilvl="0" w:tplc="590CB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B4128D"/>
    <w:multiLevelType w:val="hybridMultilevel"/>
    <w:tmpl w:val="9CAE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5"/>
  </w:num>
  <w:num w:numId="6">
    <w:abstractNumId w:val="3"/>
  </w:num>
  <w:num w:numId="7">
    <w:abstractNumId w:val="6"/>
  </w:num>
  <w:num w:numId="8">
    <w:abstractNumId w:val="2"/>
  </w:num>
  <w:num w:numId="9">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morgan.hazelton@gmail.com">
    <w15:presenceInfo w15:providerId="Windows Live" w15:userId="90dc6955d452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revisionView w:markup="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28"/>
    <w:rsid w:val="00005C6E"/>
    <w:rsid w:val="00006D3B"/>
    <w:rsid w:val="00013B40"/>
    <w:rsid w:val="0001494A"/>
    <w:rsid w:val="000150A7"/>
    <w:rsid w:val="000207CC"/>
    <w:rsid w:val="000217EB"/>
    <w:rsid w:val="000218D7"/>
    <w:rsid w:val="00023C9D"/>
    <w:rsid w:val="00025387"/>
    <w:rsid w:val="00026BC3"/>
    <w:rsid w:val="00027991"/>
    <w:rsid w:val="0003099F"/>
    <w:rsid w:val="000310F0"/>
    <w:rsid w:val="00031D54"/>
    <w:rsid w:val="00032AF2"/>
    <w:rsid w:val="00032F42"/>
    <w:rsid w:val="000333F1"/>
    <w:rsid w:val="00033F75"/>
    <w:rsid w:val="00034ADC"/>
    <w:rsid w:val="000370A3"/>
    <w:rsid w:val="00037986"/>
    <w:rsid w:val="00037BD6"/>
    <w:rsid w:val="00040990"/>
    <w:rsid w:val="0004172E"/>
    <w:rsid w:val="00042B2B"/>
    <w:rsid w:val="0004338E"/>
    <w:rsid w:val="00043591"/>
    <w:rsid w:val="0004472D"/>
    <w:rsid w:val="0004526A"/>
    <w:rsid w:val="00046F9F"/>
    <w:rsid w:val="000478AD"/>
    <w:rsid w:val="00050239"/>
    <w:rsid w:val="00053025"/>
    <w:rsid w:val="00053B34"/>
    <w:rsid w:val="000552CB"/>
    <w:rsid w:val="00056E0A"/>
    <w:rsid w:val="000577C7"/>
    <w:rsid w:val="00062FBC"/>
    <w:rsid w:val="00066D9B"/>
    <w:rsid w:val="0006710C"/>
    <w:rsid w:val="00067631"/>
    <w:rsid w:val="00072EBC"/>
    <w:rsid w:val="00073859"/>
    <w:rsid w:val="00077F08"/>
    <w:rsid w:val="00082BA0"/>
    <w:rsid w:val="00083411"/>
    <w:rsid w:val="000867BE"/>
    <w:rsid w:val="00090EB5"/>
    <w:rsid w:val="00096AAD"/>
    <w:rsid w:val="00096D35"/>
    <w:rsid w:val="000A1A40"/>
    <w:rsid w:val="000A2DEA"/>
    <w:rsid w:val="000A4939"/>
    <w:rsid w:val="000A51B3"/>
    <w:rsid w:val="000B092B"/>
    <w:rsid w:val="000B26E3"/>
    <w:rsid w:val="000B7106"/>
    <w:rsid w:val="000B7D6C"/>
    <w:rsid w:val="000C0E45"/>
    <w:rsid w:val="000C4D55"/>
    <w:rsid w:val="000C4FD0"/>
    <w:rsid w:val="000C6A42"/>
    <w:rsid w:val="000D0D74"/>
    <w:rsid w:val="000D0F14"/>
    <w:rsid w:val="000D1A61"/>
    <w:rsid w:val="000D23C5"/>
    <w:rsid w:val="000D32D8"/>
    <w:rsid w:val="000E0148"/>
    <w:rsid w:val="000E0972"/>
    <w:rsid w:val="000E36FE"/>
    <w:rsid w:val="000E4CD9"/>
    <w:rsid w:val="000E74C3"/>
    <w:rsid w:val="000F3491"/>
    <w:rsid w:val="000F404B"/>
    <w:rsid w:val="00103A04"/>
    <w:rsid w:val="001068EC"/>
    <w:rsid w:val="001100AF"/>
    <w:rsid w:val="00111787"/>
    <w:rsid w:val="00113603"/>
    <w:rsid w:val="0011496B"/>
    <w:rsid w:val="00116C79"/>
    <w:rsid w:val="001201E4"/>
    <w:rsid w:val="00125638"/>
    <w:rsid w:val="0013151F"/>
    <w:rsid w:val="00131855"/>
    <w:rsid w:val="001338E7"/>
    <w:rsid w:val="00133926"/>
    <w:rsid w:val="0013582F"/>
    <w:rsid w:val="00141235"/>
    <w:rsid w:val="00141B41"/>
    <w:rsid w:val="0014221C"/>
    <w:rsid w:val="00147221"/>
    <w:rsid w:val="00150D0B"/>
    <w:rsid w:val="001518E7"/>
    <w:rsid w:val="0015493E"/>
    <w:rsid w:val="001564F7"/>
    <w:rsid w:val="00156585"/>
    <w:rsid w:val="00160682"/>
    <w:rsid w:val="0016148B"/>
    <w:rsid w:val="00162EE3"/>
    <w:rsid w:val="00164D0D"/>
    <w:rsid w:val="00165A93"/>
    <w:rsid w:val="00172F24"/>
    <w:rsid w:val="001741B4"/>
    <w:rsid w:val="00175555"/>
    <w:rsid w:val="00180DAF"/>
    <w:rsid w:val="001813C9"/>
    <w:rsid w:val="001840C0"/>
    <w:rsid w:val="0018462D"/>
    <w:rsid w:val="001902DF"/>
    <w:rsid w:val="00191E5F"/>
    <w:rsid w:val="0019341A"/>
    <w:rsid w:val="001940CC"/>
    <w:rsid w:val="001960F1"/>
    <w:rsid w:val="001A29F5"/>
    <w:rsid w:val="001A3360"/>
    <w:rsid w:val="001A3EDB"/>
    <w:rsid w:val="001A4078"/>
    <w:rsid w:val="001A4C64"/>
    <w:rsid w:val="001D1851"/>
    <w:rsid w:val="001D36AF"/>
    <w:rsid w:val="001D3896"/>
    <w:rsid w:val="001D5A32"/>
    <w:rsid w:val="001E04C9"/>
    <w:rsid w:val="001E3323"/>
    <w:rsid w:val="001E3CE0"/>
    <w:rsid w:val="001E519E"/>
    <w:rsid w:val="001E5893"/>
    <w:rsid w:val="001E660B"/>
    <w:rsid w:val="001E6697"/>
    <w:rsid w:val="001E6814"/>
    <w:rsid w:val="001E690C"/>
    <w:rsid w:val="001E6EF6"/>
    <w:rsid w:val="001E7B04"/>
    <w:rsid w:val="001F0A29"/>
    <w:rsid w:val="001F31A4"/>
    <w:rsid w:val="001F42E5"/>
    <w:rsid w:val="001F519F"/>
    <w:rsid w:val="002023B7"/>
    <w:rsid w:val="002024CE"/>
    <w:rsid w:val="002031F3"/>
    <w:rsid w:val="00204048"/>
    <w:rsid w:val="00205AD7"/>
    <w:rsid w:val="002118BA"/>
    <w:rsid w:val="00212B1A"/>
    <w:rsid w:val="00212E94"/>
    <w:rsid w:val="00213EF1"/>
    <w:rsid w:val="002219AC"/>
    <w:rsid w:val="00223435"/>
    <w:rsid w:val="00223E9F"/>
    <w:rsid w:val="00225E93"/>
    <w:rsid w:val="00226350"/>
    <w:rsid w:val="00231487"/>
    <w:rsid w:val="00231D6E"/>
    <w:rsid w:val="00232BF2"/>
    <w:rsid w:val="00234588"/>
    <w:rsid w:val="00234972"/>
    <w:rsid w:val="002359C1"/>
    <w:rsid w:val="002451A4"/>
    <w:rsid w:val="00245234"/>
    <w:rsid w:val="0025071A"/>
    <w:rsid w:val="0025076B"/>
    <w:rsid w:val="00251B35"/>
    <w:rsid w:val="00255A03"/>
    <w:rsid w:val="00261E25"/>
    <w:rsid w:val="00263EA5"/>
    <w:rsid w:val="00264388"/>
    <w:rsid w:val="00264456"/>
    <w:rsid w:val="002706CB"/>
    <w:rsid w:val="00273727"/>
    <w:rsid w:val="0027488A"/>
    <w:rsid w:val="00274C64"/>
    <w:rsid w:val="002762F9"/>
    <w:rsid w:val="0028258F"/>
    <w:rsid w:val="002826F8"/>
    <w:rsid w:val="00283CF0"/>
    <w:rsid w:val="00291516"/>
    <w:rsid w:val="0029246D"/>
    <w:rsid w:val="002926FD"/>
    <w:rsid w:val="00294D77"/>
    <w:rsid w:val="0029636A"/>
    <w:rsid w:val="00297BB9"/>
    <w:rsid w:val="002A06EF"/>
    <w:rsid w:val="002A2143"/>
    <w:rsid w:val="002A21D9"/>
    <w:rsid w:val="002A4DCB"/>
    <w:rsid w:val="002A6579"/>
    <w:rsid w:val="002B1F3C"/>
    <w:rsid w:val="002B5B0A"/>
    <w:rsid w:val="002B69FB"/>
    <w:rsid w:val="002B7C8D"/>
    <w:rsid w:val="002C00A2"/>
    <w:rsid w:val="002C1505"/>
    <w:rsid w:val="002C204F"/>
    <w:rsid w:val="002C2123"/>
    <w:rsid w:val="002D06E2"/>
    <w:rsid w:val="002D155E"/>
    <w:rsid w:val="002D1E6B"/>
    <w:rsid w:val="002D49ED"/>
    <w:rsid w:val="002D4ADC"/>
    <w:rsid w:val="002D4C5B"/>
    <w:rsid w:val="002D54DE"/>
    <w:rsid w:val="002E0707"/>
    <w:rsid w:val="002E0E32"/>
    <w:rsid w:val="002E181F"/>
    <w:rsid w:val="002E26C0"/>
    <w:rsid w:val="002E751F"/>
    <w:rsid w:val="002F526B"/>
    <w:rsid w:val="002F61D8"/>
    <w:rsid w:val="003007BC"/>
    <w:rsid w:val="003012AC"/>
    <w:rsid w:val="00306552"/>
    <w:rsid w:val="003067CC"/>
    <w:rsid w:val="00306EE9"/>
    <w:rsid w:val="00307928"/>
    <w:rsid w:val="003171C7"/>
    <w:rsid w:val="00317AEA"/>
    <w:rsid w:val="003223E4"/>
    <w:rsid w:val="00323637"/>
    <w:rsid w:val="00333226"/>
    <w:rsid w:val="003333B6"/>
    <w:rsid w:val="00334785"/>
    <w:rsid w:val="00346DC7"/>
    <w:rsid w:val="003519E8"/>
    <w:rsid w:val="003519F9"/>
    <w:rsid w:val="0035258B"/>
    <w:rsid w:val="00356C05"/>
    <w:rsid w:val="0036606D"/>
    <w:rsid w:val="00367570"/>
    <w:rsid w:val="00370B18"/>
    <w:rsid w:val="00373163"/>
    <w:rsid w:val="003732F3"/>
    <w:rsid w:val="003808BF"/>
    <w:rsid w:val="00380D25"/>
    <w:rsid w:val="003818CD"/>
    <w:rsid w:val="00383212"/>
    <w:rsid w:val="00392D8D"/>
    <w:rsid w:val="00395047"/>
    <w:rsid w:val="003969B8"/>
    <w:rsid w:val="003976EE"/>
    <w:rsid w:val="003A035B"/>
    <w:rsid w:val="003A2EDA"/>
    <w:rsid w:val="003A485D"/>
    <w:rsid w:val="003A6576"/>
    <w:rsid w:val="003B0938"/>
    <w:rsid w:val="003B3A83"/>
    <w:rsid w:val="003B4508"/>
    <w:rsid w:val="003B4E6A"/>
    <w:rsid w:val="003B642C"/>
    <w:rsid w:val="003B7166"/>
    <w:rsid w:val="003B7C1F"/>
    <w:rsid w:val="003B7D86"/>
    <w:rsid w:val="003C192E"/>
    <w:rsid w:val="003C219B"/>
    <w:rsid w:val="003C3D24"/>
    <w:rsid w:val="003C409E"/>
    <w:rsid w:val="003C4E07"/>
    <w:rsid w:val="003C6F13"/>
    <w:rsid w:val="003C7590"/>
    <w:rsid w:val="003D2FC8"/>
    <w:rsid w:val="003D366B"/>
    <w:rsid w:val="003D3B06"/>
    <w:rsid w:val="003D45FE"/>
    <w:rsid w:val="003D5401"/>
    <w:rsid w:val="003D5841"/>
    <w:rsid w:val="003D648A"/>
    <w:rsid w:val="003E29DA"/>
    <w:rsid w:val="003E29FF"/>
    <w:rsid w:val="0040027B"/>
    <w:rsid w:val="00401383"/>
    <w:rsid w:val="0040194E"/>
    <w:rsid w:val="00402DFF"/>
    <w:rsid w:val="004060CB"/>
    <w:rsid w:val="0040618F"/>
    <w:rsid w:val="0041162B"/>
    <w:rsid w:val="004141CB"/>
    <w:rsid w:val="004148E9"/>
    <w:rsid w:val="00417B6C"/>
    <w:rsid w:val="00420052"/>
    <w:rsid w:val="00421CD6"/>
    <w:rsid w:val="004246B4"/>
    <w:rsid w:val="00425AB5"/>
    <w:rsid w:val="00425CFB"/>
    <w:rsid w:val="00425EE0"/>
    <w:rsid w:val="0042710C"/>
    <w:rsid w:val="00431714"/>
    <w:rsid w:val="0043428F"/>
    <w:rsid w:val="0043443D"/>
    <w:rsid w:val="00436951"/>
    <w:rsid w:val="004369A7"/>
    <w:rsid w:val="00437F43"/>
    <w:rsid w:val="004407FA"/>
    <w:rsid w:val="00441FFA"/>
    <w:rsid w:val="00443189"/>
    <w:rsid w:val="004457D1"/>
    <w:rsid w:val="00453005"/>
    <w:rsid w:val="004561E9"/>
    <w:rsid w:val="00456C91"/>
    <w:rsid w:val="00463169"/>
    <w:rsid w:val="004644F9"/>
    <w:rsid w:val="00465151"/>
    <w:rsid w:val="00470FCD"/>
    <w:rsid w:val="00472388"/>
    <w:rsid w:val="004728BF"/>
    <w:rsid w:val="00472DD6"/>
    <w:rsid w:val="004732C2"/>
    <w:rsid w:val="0047392E"/>
    <w:rsid w:val="00475F35"/>
    <w:rsid w:val="00477B6A"/>
    <w:rsid w:val="00480258"/>
    <w:rsid w:val="00480FBC"/>
    <w:rsid w:val="00482989"/>
    <w:rsid w:val="00484CBC"/>
    <w:rsid w:val="004903C7"/>
    <w:rsid w:val="004917BE"/>
    <w:rsid w:val="00491B3A"/>
    <w:rsid w:val="00495A0F"/>
    <w:rsid w:val="004A0810"/>
    <w:rsid w:val="004A10AF"/>
    <w:rsid w:val="004A1912"/>
    <w:rsid w:val="004A1BE1"/>
    <w:rsid w:val="004A3C75"/>
    <w:rsid w:val="004A4518"/>
    <w:rsid w:val="004A4EEF"/>
    <w:rsid w:val="004A62C0"/>
    <w:rsid w:val="004A6421"/>
    <w:rsid w:val="004A69A5"/>
    <w:rsid w:val="004A7282"/>
    <w:rsid w:val="004C25AB"/>
    <w:rsid w:val="004C45D8"/>
    <w:rsid w:val="004C4EC2"/>
    <w:rsid w:val="004D083B"/>
    <w:rsid w:val="004D2A92"/>
    <w:rsid w:val="004D3C48"/>
    <w:rsid w:val="004D429E"/>
    <w:rsid w:val="004D4AC3"/>
    <w:rsid w:val="004D597D"/>
    <w:rsid w:val="004D5DE1"/>
    <w:rsid w:val="004E2760"/>
    <w:rsid w:val="004E2CF5"/>
    <w:rsid w:val="004E712C"/>
    <w:rsid w:val="004F1E0D"/>
    <w:rsid w:val="004F2184"/>
    <w:rsid w:val="004F7955"/>
    <w:rsid w:val="005043EB"/>
    <w:rsid w:val="005044F8"/>
    <w:rsid w:val="00504CC9"/>
    <w:rsid w:val="00505A82"/>
    <w:rsid w:val="00507420"/>
    <w:rsid w:val="00507AD5"/>
    <w:rsid w:val="00511073"/>
    <w:rsid w:val="0051724A"/>
    <w:rsid w:val="00517AF9"/>
    <w:rsid w:val="00517B5F"/>
    <w:rsid w:val="005236C1"/>
    <w:rsid w:val="005248A4"/>
    <w:rsid w:val="005254B6"/>
    <w:rsid w:val="00525D48"/>
    <w:rsid w:val="00526692"/>
    <w:rsid w:val="00526E36"/>
    <w:rsid w:val="0053431F"/>
    <w:rsid w:val="00534C80"/>
    <w:rsid w:val="00540C59"/>
    <w:rsid w:val="00542419"/>
    <w:rsid w:val="005429FF"/>
    <w:rsid w:val="005455F7"/>
    <w:rsid w:val="0055324D"/>
    <w:rsid w:val="00561BA2"/>
    <w:rsid w:val="00561E7D"/>
    <w:rsid w:val="00562E0D"/>
    <w:rsid w:val="0056384B"/>
    <w:rsid w:val="005719F3"/>
    <w:rsid w:val="00572351"/>
    <w:rsid w:val="00575626"/>
    <w:rsid w:val="0058150B"/>
    <w:rsid w:val="00583D17"/>
    <w:rsid w:val="00585E87"/>
    <w:rsid w:val="00590345"/>
    <w:rsid w:val="00593D70"/>
    <w:rsid w:val="00594FF7"/>
    <w:rsid w:val="005A2AE6"/>
    <w:rsid w:val="005A7D32"/>
    <w:rsid w:val="005B0957"/>
    <w:rsid w:val="005B418A"/>
    <w:rsid w:val="005B453B"/>
    <w:rsid w:val="005B650F"/>
    <w:rsid w:val="005C1195"/>
    <w:rsid w:val="005C4BE4"/>
    <w:rsid w:val="005C72A9"/>
    <w:rsid w:val="005C7B4B"/>
    <w:rsid w:val="005D150B"/>
    <w:rsid w:val="005D41B1"/>
    <w:rsid w:val="005D4B2B"/>
    <w:rsid w:val="005E02B5"/>
    <w:rsid w:val="005E3ADD"/>
    <w:rsid w:val="005E5619"/>
    <w:rsid w:val="005E61FF"/>
    <w:rsid w:val="005E7017"/>
    <w:rsid w:val="005F121A"/>
    <w:rsid w:val="005F1A08"/>
    <w:rsid w:val="005F3362"/>
    <w:rsid w:val="005F357D"/>
    <w:rsid w:val="005F3A77"/>
    <w:rsid w:val="005F6BA5"/>
    <w:rsid w:val="005F7F14"/>
    <w:rsid w:val="00600094"/>
    <w:rsid w:val="006010D8"/>
    <w:rsid w:val="00601631"/>
    <w:rsid w:val="006039AB"/>
    <w:rsid w:val="00605C72"/>
    <w:rsid w:val="006070AC"/>
    <w:rsid w:val="00610194"/>
    <w:rsid w:val="006117B5"/>
    <w:rsid w:val="00611A7B"/>
    <w:rsid w:val="00613C79"/>
    <w:rsid w:val="006220CB"/>
    <w:rsid w:val="006339AD"/>
    <w:rsid w:val="0063408C"/>
    <w:rsid w:val="00635A52"/>
    <w:rsid w:val="00635E21"/>
    <w:rsid w:val="00642D20"/>
    <w:rsid w:val="0064329E"/>
    <w:rsid w:val="00646013"/>
    <w:rsid w:val="006474C5"/>
    <w:rsid w:val="006509D6"/>
    <w:rsid w:val="00652793"/>
    <w:rsid w:val="00652B6D"/>
    <w:rsid w:val="00654189"/>
    <w:rsid w:val="0065674B"/>
    <w:rsid w:val="00656B6F"/>
    <w:rsid w:val="00662074"/>
    <w:rsid w:val="0066255D"/>
    <w:rsid w:val="00672036"/>
    <w:rsid w:val="00675579"/>
    <w:rsid w:val="0067622F"/>
    <w:rsid w:val="00677042"/>
    <w:rsid w:val="00684023"/>
    <w:rsid w:val="0068444D"/>
    <w:rsid w:val="00686893"/>
    <w:rsid w:val="00692FF2"/>
    <w:rsid w:val="006940EB"/>
    <w:rsid w:val="0069417E"/>
    <w:rsid w:val="0069423B"/>
    <w:rsid w:val="00695724"/>
    <w:rsid w:val="00696F96"/>
    <w:rsid w:val="006A092E"/>
    <w:rsid w:val="006A1316"/>
    <w:rsid w:val="006A20C3"/>
    <w:rsid w:val="006A3FCB"/>
    <w:rsid w:val="006A49B5"/>
    <w:rsid w:val="006A7133"/>
    <w:rsid w:val="006B2F3F"/>
    <w:rsid w:val="006B3A64"/>
    <w:rsid w:val="006B66D5"/>
    <w:rsid w:val="006C0A86"/>
    <w:rsid w:val="006C2975"/>
    <w:rsid w:val="006C2A9B"/>
    <w:rsid w:val="006C3902"/>
    <w:rsid w:val="006C5CFF"/>
    <w:rsid w:val="006D32AD"/>
    <w:rsid w:val="006D4B97"/>
    <w:rsid w:val="006D78EF"/>
    <w:rsid w:val="006E1474"/>
    <w:rsid w:val="006E34CF"/>
    <w:rsid w:val="006E6B3D"/>
    <w:rsid w:val="006F0900"/>
    <w:rsid w:val="006F3A77"/>
    <w:rsid w:val="006F5661"/>
    <w:rsid w:val="00700757"/>
    <w:rsid w:val="00700A5A"/>
    <w:rsid w:val="007019A0"/>
    <w:rsid w:val="0070496F"/>
    <w:rsid w:val="007079F1"/>
    <w:rsid w:val="00711055"/>
    <w:rsid w:val="007117CA"/>
    <w:rsid w:val="00711B38"/>
    <w:rsid w:val="00712F75"/>
    <w:rsid w:val="007140F5"/>
    <w:rsid w:val="00717A05"/>
    <w:rsid w:val="00717A33"/>
    <w:rsid w:val="00726F69"/>
    <w:rsid w:val="007317BB"/>
    <w:rsid w:val="007327F8"/>
    <w:rsid w:val="00737445"/>
    <w:rsid w:val="00742000"/>
    <w:rsid w:val="007420CB"/>
    <w:rsid w:val="00742751"/>
    <w:rsid w:val="00743634"/>
    <w:rsid w:val="00743DC1"/>
    <w:rsid w:val="0074521B"/>
    <w:rsid w:val="007523A9"/>
    <w:rsid w:val="0075643A"/>
    <w:rsid w:val="00757ACC"/>
    <w:rsid w:val="0076463C"/>
    <w:rsid w:val="007657CC"/>
    <w:rsid w:val="00766BCB"/>
    <w:rsid w:val="007705EC"/>
    <w:rsid w:val="0077461D"/>
    <w:rsid w:val="00774678"/>
    <w:rsid w:val="007766EE"/>
    <w:rsid w:val="00782872"/>
    <w:rsid w:val="00782D64"/>
    <w:rsid w:val="00785189"/>
    <w:rsid w:val="00785E9B"/>
    <w:rsid w:val="00786143"/>
    <w:rsid w:val="00791F0F"/>
    <w:rsid w:val="00794C32"/>
    <w:rsid w:val="00795516"/>
    <w:rsid w:val="00795E19"/>
    <w:rsid w:val="007A11C9"/>
    <w:rsid w:val="007A24C4"/>
    <w:rsid w:val="007A2F68"/>
    <w:rsid w:val="007A4551"/>
    <w:rsid w:val="007A6B03"/>
    <w:rsid w:val="007B0239"/>
    <w:rsid w:val="007B044D"/>
    <w:rsid w:val="007B2C94"/>
    <w:rsid w:val="007B3622"/>
    <w:rsid w:val="007B3763"/>
    <w:rsid w:val="007C1D95"/>
    <w:rsid w:val="007C254D"/>
    <w:rsid w:val="007C31E6"/>
    <w:rsid w:val="007C54A9"/>
    <w:rsid w:val="007D09B4"/>
    <w:rsid w:val="007D159B"/>
    <w:rsid w:val="007D1A0A"/>
    <w:rsid w:val="007D306A"/>
    <w:rsid w:val="007D3357"/>
    <w:rsid w:val="007D7A5F"/>
    <w:rsid w:val="007D7DA5"/>
    <w:rsid w:val="007E0CB4"/>
    <w:rsid w:val="007E346E"/>
    <w:rsid w:val="007E4ED1"/>
    <w:rsid w:val="007E59B9"/>
    <w:rsid w:val="007E59ED"/>
    <w:rsid w:val="007E7BF1"/>
    <w:rsid w:val="007F1006"/>
    <w:rsid w:val="007F73BF"/>
    <w:rsid w:val="00801F33"/>
    <w:rsid w:val="0080383B"/>
    <w:rsid w:val="00803919"/>
    <w:rsid w:val="008067C6"/>
    <w:rsid w:val="0080699D"/>
    <w:rsid w:val="0081150A"/>
    <w:rsid w:val="00812769"/>
    <w:rsid w:val="00817428"/>
    <w:rsid w:val="00822F1C"/>
    <w:rsid w:val="00824538"/>
    <w:rsid w:val="0083007A"/>
    <w:rsid w:val="0083044D"/>
    <w:rsid w:val="00831A72"/>
    <w:rsid w:val="00837594"/>
    <w:rsid w:val="008402C7"/>
    <w:rsid w:val="00844A72"/>
    <w:rsid w:val="00845AEF"/>
    <w:rsid w:val="008461FE"/>
    <w:rsid w:val="00851685"/>
    <w:rsid w:val="00852234"/>
    <w:rsid w:val="0085273B"/>
    <w:rsid w:val="00852868"/>
    <w:rsid w:val="00855D78"/>
    <w:rsid w:val="0085646C"/>
    <w:rsid w:val="00856505"/>
    <w:rsid w:val="00861C85"/>
    <w:rsid w:val="008631C5"/>
    <w:rsid w:val="00867AD1"/>
    <w:rsid w:val="0087064A"/>
    <w:rsid w:val="0087358F"/>
    <w:rsid w:val="00874BB6"/>
    <w:rsid w:val="00876E30"/>
    <w:rsid w:val="0088173A"/>
    <w:rsid w:val="008821AA"/>
    <w:rsid w:val="008827FC"/>
    <w:rsid w:val="008839D6"/>
    <w:rsid w:val="00885FE5"/>
    <w:rsid w:val="008871C3"/>
    <w:rsid w:val="00887E7E"/>
    <w:rsid w:val="00891E6D"/>
    <w:rsid w:val="00892EFD"/>
    <w:rsid w:val="00895941"/>
    <w:rsid w:val="008A0893"/>
    <w:rsid w:val="008A120C"/>
    <w:rsid w:val="008A3E07"/>
    <w:rsid w:val="008A517E"/>
    <w:rsid w:val="008B0D5B"/>
    <w:rsid w:val="008B1013"/>
    <w:rsid w:val="008B2F8B"/>
    <w:rsid w:val="008B76CD"/>
    <w:rsid w:val="008C40CA"/>
    <w:rsid w:val="008C493C"/>
    <w:rsid w:val="008C5126"/>
    <w:rsid w:val="008C70CF"/>
    <w:rsid w:val="008D3D8D"/>
    <w:rsid w:val="008D4611"/>
    <w:rsid w:val="008E084E"/>
    <w:rsid w:val="008E1266"/>
    <w:rsid w:val="008E454E"/>
    <w:rsid w:val="008E477D"/>
    <w:rsid w:val="008E640C"/>
    <w:rsid w:val="008E6C94"/>
    <w:rsid w:val="008E7D76"/>
    <w:rsid w:val="008F1AE7"/>
    <w:rsid w:val="008F5DAA"/>
    <w:rsid w:val="00904ED7"/>
    <w:rsid w:val="009057C1"/>
    <w:rsid w:val="00905F94"/>
    <w:rsid w:val="00913834"/>
    <w:rsid w:val="00913DC4"/>
    <w:rsid w:val="00914423"/>
    <w:rsid w:val="009150E7"/>
    <w:rsid w:val="00916285"/>
    <w:rsid w:val="00921E0B"/>
    <w:rsid w:val="00921FDE"/>
    <w:rsid w:val="009305E0"/>
    <w:rsid w:val="009308D6"/>
    <w:rsid w:val="00930CCD"/>
    <w:rsid w:val="00930D47"/>
    <w:rsid w:val="00933F9B"/>
    <w:rsid w:val="00936CBC"/>
    <w:rsid w:val="00937101"/>
    <w:rsid w:val="0093775B"/>
    <w:rsid w:val="00937EB9"/>
    <w:rsid w:val="009404C1"/>
    <w:rsid w:val="0094188C"/>
    <w:rsid w:val="00942663"/>
    <w:rsid w:val="009428F8"/>
    <w:rsid w:val="009439FD"/>
    <w:rsid w:val="00943BB5"/>
    <w:rsid w:val="00944C0E"/>
    <w:rsid w:val="00947D6B"/>
    <w:rsid w:val="00950C25"/>
    <w:rsid w:val="009512EE"/>
    <w:rsid w:val="009517B5"/>
    <w:rsid w:val="00953870"/>
    <w:rsid w:val="00954245"/>
    <w:rsid w:val="00972B97"/>
    <w:rsid w:val="009737AF"/>
    <w:rsid w:val="00973849"/>
    <w:rsid w:val="009739FA"/>
    <w:rsid w:val="00982BE3"/>
    <w:rsid w:val="00983444"/>
    <w:rsid w:val="0098416E"/>
    <w:rsid w:val="009859A5"/>
    <w:rsid w:val="00987C45"/>
    <w:rsid w:val="00991EC8"/>
    <w:rsid w:val="00994711"/>
    <w:rsid w:val="009952AC"/>
    <w:rsid w:val="00995CF5"/>
    <w:rsid w:val="009A24F0"/>
    <w:rsid w:val="009A39E0"/>
    <w:rsid w:val="009A6249"/>
    <w:rsid w:val="009B4993"/>
    <w:rsid w:val="009C154F"/>
    <w:rsid w:val="009C2172"/>
    <w:rsid w:val="009C24F6"/>
    <w:rsid w:val="009C2ABC"/>
    <w:rsid w:val="009C3A54"/>
    <w:rsid w:val="009C3EDB"/>
    <w:rsid w:val="009C43F4"/>
    <w:rsid w:val="009C5D48"/>
    <w:rsid w:val="009C6139"/>
    <w:rsid w:val="009C673F"/>
    <w:rsid w:val="009C6EBF"/>
    <w:rsid w:val="009D6457"/>
    <w:rsid w:val="009D6BE6"/>
    <w:rsid w:val="009D763B"/>
    <w:rsid w:val="009E0FB9"/>
    <w:rsid w:val="009E28BC"/>
    <w:rsid w:val="009E32F4"/>
    <w:rsid w:val="009E3C9F"/>
    <w:rsid w:val="009E55B9"/>
    <w:rsid w:val="009E6218"/>
    <w:rsid w:val="009E72C7"/>
    <w:rsid w:val="009F0B7C"/>
    <w:rsid w:val="009F0FC9"/>
    <w:rsid w:val="009F1ACB"/>
    <w:rsid w:val="009F5D18"/>
    <w:rsid w:val="009F7042"/>
    <w:rsid w:val="00A01C08"/>
    <w:rsid w:val="00A02475"/>
    <w:rsid w:val="00A02B49"/>
    <w:rsid w:val="00A035D5"/>
    <w:rsid w:val="00A0372E"/>
    <w:rsid w:val="00A05640"/>
    <w:rsid w:val="00A06418"/>
    <w:rsid w:val="00A07B0A"/>
    <w:rsid w:val="00A10AFE"/>
    <w:rsid w:val="00A15372"/>
    <w:rsid w:val="00A155E5"/>
    <w:rsid w:val="00A158FA"/>
    <w:rsid w:val="00A21B97"/>
    <w:rsid w:val="00A2212F"/>
    <w:rsid w:val="00A2308B"/>
    <w:rsid w:val="00A301E2"/>
    <w:rsid w:val="00A30BEB"/>
    <w:rsid w:val="00A37B0E"/>
    <w:rsid w:val="00A41431"/>
    <w:rsid w:val="00A4658E"/>
    <w:rsid w:val="00A470A3"/>
    <w:rsid w:val="00A5264C"/>
    <w:rsid w:val="00A5267E"/>
    <w:rsid w:val="00A52683"/>
    <w:rsid w:val="00A611C6"/>
    <w:rsid w:val="00A62B84"/>
    <w:rsid w:val="00A63C45"/>
    <w:rsid w:val="00A677F3"/>
    <w:rsid w:val="00A67AF6"/>
    <w:rsid w:val="00A67C15"/>
    <w:rsid w:val="00A70EA6"/>
    <w:rsid w:val="00A71C81"/>
    <w:rsid w:val="00A73539"/>
    <w:rsid w:val="00A75764"/>
    <w:rsid w:val="00A76D02"/>
    <w:rsid w:val="00A775F7"/>
    <w:rsid w:val="00A81C7A"/>
    <w:rsid w:val="00A82328"/>
    <w:rsid w:val="00A83BD1"/>
    <w:rsid w:val="00A94294"/>
    <w:rsid w:val="00A963CB"/>
    <w:rsid w:val="00A97067"/>
    <w:rsid w:val="00A97593"/>
    <w:rsid w:val="00AA03B6"/>
    <w:rsid w:val="00AA24B5"/>
    <w:rsid w:val="00AA3070"/>
    <w:rsid w:val="00AA602D"/>
    <w:rsid w:val="00AA7281"/>
    <w:rsid w:val="00AB06DE"/>
    <w:rsid w:val="00AB23B3"/>
    <w:rsid w:val="00AB3BDC"/>
    <w:rsid w:val="00AB6922"/>
    <w:rsid w:val="00AB7125"/>
    <w:rsid w:val="00AC06E8"/>
    <w:rsid w:val="00AC1E98"/>
    <w:rsid w:val="00AC55BC"/>
    <w:rsid w:val="00AC5ACD"/>
    <w:rsid w:val="00AC6F90"/>
    <w:rsid w:val="00AD0C83"/>
    <w:rsid w:val="00AD1B24"/>
    <w:rsid w:val="00AD20CE"/>
    <w:rsid w:val="00AD2467"/>
    <w:rsid w:val="00AE2146"/>
    <w:rsid w:val="00AE2380"/>
    <w:rsid w:val="00AE52F1"/>
    <w:rsid w:val="00AF01BC"/>
    <w:rsid w:val="00AF26EB"/>
    <w:rsid w:val="00AF2B4C"/>
    <w:rsid w:val="00AF2CE4"/>
    <w:rsid w:val="00AF2FEF"/>
    <w:rsid w:val="00AF3343"/>
    <w:rsid w:val="00AF390B"/>
    <w:rsid w:val="00AF3C2E"/>
    <w:rsid w:val="00AF498A"/>
    <w:rsid w:val="00AF6314"/>
    <w:rsid w:val="00B00ADC"/>
    <w:rsid w:val="00B00F32"/>
    <w:rsid w:val="00B03FEF"/>
    <w:rsid w:val="00B07901"/>
    <w:rsid w:val="00B11908"/>
    <w:rsid w:val="00B2059F"/>
    <w:rsid w:val="00B2247C"/>
    <w:rsid w:val="00B2261B"/>
    <w:rsid w:val="00B27B8F"/>
    <w:rsid w:val="00B331F4"/>
    <w:rsid w:val="00B346A5"/>
    <w:rsid w:val="00B35F45"/>
    <w:rsid w:val="00B36E78"/>
    <w:rsid w:val="00B40236"/>
    <w:rsid w:val="00B4106A"/>
    <w:rsid w:val="00B42C31"/>
    <w:rsid w:val="00B44F60"/>
    <w:rsid w:val="00B456C2"/>
    <w:rsid w:val="00B47916"/>
    <w:rsid w:val="00B51954"/>
    <w:rsid w:val="00B53776"/>
    <w:rsid w:val="00B53EAD"/>
    <w:rsid w:val="00B55BE1"/>
    <w:rsid w:val="00B60FDB"/>
    <w:rsid w:val="00B62900"/>
    <w:rsid w:val="00B63CA7"/>
    <w:rsid w:val="00B6670B"/>
    <w:rsid w:val="00B71E5C"/>
    <w:rsid w:val="00B80182"/>
    <w:rsid w:val="00B80B9D"/>
    <w:rsid w:val="00B821C3"/>
    <w:rsid w:val="00B83181"/>
    <w:rsid w:val="00B83C7D"/>
    <w:rsid w:val="00B848DC"/>
    <w:rsid w:val="00B91F84"/>
    <w:rsid w:val="00B92057"/>
    <w:rsid w:val="00B932B0"/>
    <w:rsid w:val="00B938CB"/>
    <w:rsid w:val="00B940A5"/>
    <w:rsid w:val="00B94BF3"/>
    <w:rsid w:val="00B9638E"/>
    <w:rsid w:val="00BA317B"/>
    <w:rsid w:val="00BA3357"/>
    <w:rsid w:val="00BB1155"/>
    <w:rsid w:val="00BB777C"/>
    <w:rsid w:val="00BC08B8"/>
    <w:rsid w:val="00BC1EA8"/>
    <w:rsid w:val="00BC3040"/>
    <w:rsid w:val="00BC5399"/>
    <w:rsid w:val="00BC657C"/>
    <w:rsid w:val="00BD7E96"/>
    <w:rsid w:val="00BE1907"/>
    <w:rsid w:val="00BE5C40"/>
    <w:rsid w:val="00BE78D4"/>
    <w:rsid w:val="00BF6B5C"/>
    <w:rsid w:val="00C00571"/>
    <w:rsid w:val="00C026D6"/>
    <w:rsid w:val="00C1207B"/>
    <w:rsid w:val="00C12D13"/>
    <w:rsid w:val="00C132BC"/>
    <w:rsid w:val="00C1415E"/>
    <w:rsid w:val="00C1612B"/>
    <w:rsid w:val="00C2239B"/>
    <w:rsid w:val="00C2306E"/>
    <w:rsid w:val="00C253BE"/>
    <w:rsid w:val="00C25894"/>
    <w:rsid w:val="00C25D33"/>
    <w:rsid w:val="00C30D6A"/>
    <w:rsid w:val="00C35BDD"/>
    <w:rsid w:val="00C35F6F"/>
    <w:rsid w:val="00C37D04"/>
    <w:rsid w:val="00C430F4"/>
    <w:rsid w:val="00C461DB"/>
    <w:rsid w:val="00C5092B"/>
    <w:rsid w:val="00C50FC7"/>
    <w:rsid w:val="00C61907"/>
    <w:rsid w:val="00C61DD2"/>
    <w:rsid w:val="00C63DEC"/>
    <w:rsid w:val="00C662ED"/>
    <w:rsid w:val="00C67A92"/>
    <w:rsid w:val="00C72AEF"/>
    <w:rsid w:val="00C73DB7"/>
    <w:rsid w:val="00C73FFF"/>
    <w:rsid w:val="00C74735"/>
    <w:rsid w:val="00C77D8F"/>
    <w:rsid w:val="00C83F39"/>
    <w:rsid w:val="00C85840"/>
    <w:rsid w:val="00C86C94"/>
    <w:rsid w:val="00C929F3"/>
    <w:rsid w:val="00C93E02"/>
    <w:rsid w:val="00C94195"/>
    <w:rsid w:val="00C94A3D"/>
    <w:rsid w:val="00C94D97"/>
    <w:rsid w:val="00C9711C"/>
    <w:rsid w:val="00CA1977"/>
    <w:rsid w:val="00CA7D39"/>
    <w:rsid w:val="00CB26DA"/>
    <w:rsid w:val="00CB34D1"/>
    <w:rsid w:val="00CB5055"/>
    <w:rsid w:val="00CB6EF0"/>
    <w:rsid w:val="00CB70DB"/>
    <w:rsid w:val="00CC1A96"/>
    <w:rsid w:val="00CC2210"/>
    <w:rsid w:val="00CC6AF2"/>
    <w:rsid w:val="00CC74A1"/>
    <w:rsid w:val="00CD1207"/>
    <w:rsid w:val="00CD20F9"/>
    <w:rsid w:val="00CD54C3"/>
    <w:rsid w:val="00CD617A"/>
    <w:rsid w:val="00CE2649"/>
    <w:rsid w:val="00CF1022"/>
    <w:rsid w:val="00CF3EB3"/>
    <w:rsid w:val="00CF453A"/>
    <w:rsid w:val="00CF6597"/>
    <w:rsid w:val="00CF6C4F"/>
    <w:rsid w:val="00D021E5"/>
    <w:rsid w:val="00D0477F"/>
    <w:rsid w:val="00D10B67"/>
    <w:rsid w:val="00D129C5"/>
    <w:rsid w:val="00D13786"/>
    <w:rsid w:val="00D158E4"/>
    <w:rsid w:val="00D15DB5"/>
    <w:rsid w:val="00D17526"/>
    <w:rsid w:val="00D216CB"/>
    <w:rsid w:val="00D23154"/>
    <w:rsid w:val="00D25D95"/>
    <w:rsid w:val="00D26116"/>
    <w:rsid w:val="00D27051"/>
    <w:rsid w:val="00D37F01"/>
    <w:rsid w:val="00D407EB"/>
    <w:rsid w:val="00D41114"/>
    <w:rsid w:val="00D425E1"/>
    <w:rsid w:val="00D42967"/>
    <w:rsid w:val="00D45738"/>
    <w:rsid w:val="00D467FD"/>
    <w:rsid w:val="00D46852"/>
    <w:rsid w:val="00D515DB"/>
    <w:rsid w:val="00D64607"/>
    <w:rsid w:val="00D64BE1"/>
    <w:rsid w:val="00D65660"/>
    <w:rsid w:val="00D70009"/>
    <w:rsid w:val="00D7030C"/>
    <w:rsid w:val="00D714A1"/>
    <w:rsid w:val="00D7178B"/>
    <w:rsid w:val="00D71A9A"/>
    <w:rsid w:val="00D72569"/>
    <w:rsid w:val="00D727B1"/>
    <w:rsid w:val="00D73D4C"/>
    <w:rsid w:val="00D75C6D"/>
    <w:rsid w:val="00D86DCD"/>
    <w:rsid w:val="00D87FE3"/>
    <w:rsid w:val="00D9068F"/>
    <w:rsid w:val="00D93234"/>
    <w:rsid w:val="00D93D74"/>
    <w:rsid w:val="00D95B03"/>
    <w:rsid w:val="00D96959"/>
    <w:rsid w:val="00DA0E86"/>
    <w:rsid w:val="00DA25D6"/>
    <w:rsid w:val="00DB00CD"/>
    <w:rsid w:val="00DB1AB0"/>
    <w:rsid w:val="00DB29C7"/>
    <w:rsid w:val="00DB3E55"/>
    <w:rsid w:val="00DB55DD"/>
    <w:rsid w:val="00DB56B7"/>
    <w:rsid w:val="00DB5713"/>
    <w:rsid w:val="00DC0361"/>
    <w:rsid w:val="00DC1632"/>
    <w:rsid w:val="00DC2595"/>
    <w:rsid w:val="00DC63E7"/>
    <w:rsid w:val="00DC71F9"/>
    <w:rsid w:val="00DD068F"/>
    <w:rsid w:val="00DD5617"/>
    <w:rsid w:val="00DD596A"/>
    <w:rsid w:val="00DD72DF"/>
    <w:rsid w:val="00DE20EB"/>
    <w:rsid w:val="00DE6893"/>
    <w:rsid w:val="00DF0FFC"/>
    <w:rsid w:val="00DF25EF"/>
    <w:rsid w:val="00DF4C8A"/>
    <w:rsid w:val="00DF6321"/>
    <w:rsid w:val="00E01077"/>
    <w:rsid w:val="00E03252"/>
    <w:rsid w:val="00E07C1D"/>
    <w:rsid w:val="00E14946"/>
    <w:rsid w:val="00E15673"/>
    <w:rsid w:val="00E16184"/>
    <w:rsid w:val="00E17F84"/>
    <w:rsid w:val="00E211B0"/>
    <w:rsid w:val="00E21416"/>
    <w:rsid w:val="00E21A96"/>
    <w:rsid w:val="00E22721"/>
    <w:rsid w:val="00E24B75"/>
    <w:rsid w:val="00E27225"/>
    <w:rsid w:val="00E31BDF"/>
    <w:rsid w:val="00E336D4"/>
    <w:rsid w:val="00E35124"/>
    <w:rsid w:val="00E35774"/>
    <w:rsid w:val="00E358E7"/>
    <w:rsid w:val="00E35EEC"/>
    <w:rsid w:val="00E35F0C"/>
    <w:rsid w:val="00E372DD"/>
    <w:rsid w:val="00E375B1"/>
    <w:rsid w:val="00E37BDB"/>
    <w:rsid w:val="00E4668E"/>
    <w:rsid w:val="00E51C01"/>
    <w:rsid w:val="00E5416A"/>
    <w:rsid w:val="00E559EE"/>
    <w:rsid w:val="00E56F69"/>
    <w:rsid w:val="00E57C65"/>
    <w:rsid w:val="00E70978"/>
    <w:rsid w:val="00E7646D"/>
    <w:rsid w:val="00E8122C"/>
    <w:rsid w:val="00E81DC0"/>
    <w:rsid w:val="00E90629"/>
    <w:rsid w:val="00E919B2"/>
    <w:rsid w:val="00E92FD9"/>
    <w:rsid w:val="00E9320F"/>
    <w:rsid w:val="00E947C9"/>
    <w:rsid w:val="00E95F6F"/>
    <w:rsid w:val="00E96C8F"/>
    <w:rsid w:val="00EB0C75"/>
    <w:rsid w:val="00EB23C6"/>
    <w:rsid w:val="00EB4186"/>
    <w:rsid w:val="00EB54FF"/>
    <w:rsid w:val="00EB5C0A"/>
    <w:rsid w:val="00EB62D1"/>
    <w:rsid w:val="00EB632C"/>
    <w:rsid w:val="00EB6A8B"/>
    <w:rsid w:val="00EB6D48"/>
    <w:rsid w:val="00EC692C"/>
    <w:rsid w:val="00ED4DAC"/>
    <w:rsid w:val="00EE1B75"/>
    <w:rsid w:val="00EE285A"/>
    <w:rsid w:val="00EE408B"/>
    <w:rsid w:val="00EE7118"/>
    <w:rsid w:val="00EE79C4"/>
    <w:rsid w:val="00EF1274"/>
    <w:rsid w:val="00EF1F4A"/>
    <w:rsid w:val="00F06101"/>
    <w:rsid w:val="00F0613D"/>
    <w:rsid w:val="00F06C0C"/>
    <w:rsid w:val="00F06ED2"/>
    <w:rsid w:val="00F072B7"/>
    <w:rsid w:val="00F10F82"/>
    <w:rsid w:val="00F12A9A"/>
    <w:rsid w:val="00F16E2B"/>
    <w:rsid w:val="00F17803"/>
    <w:rsid w:val="00F200C5"/>
    <w:rsid w:val="00F204A6"/>
    <w:rsid w:val="00F222E6"/>
    <w:rsid w:val="00F2500A"/>
    <w:rsid w:val="00F27259"/>
    <w:rsid w:val="00F3000D"/>
    <w:rsid w:val="00F30089"/>
    <w:rsid w:val="00F31B56"/>
    <w:rsid w:val="00F31D09"/>
    <w:rsid w:val="00F31F1D"/>
    <w:rsid w:val="00F33720"/>
    <w:rsid w:val="00F35D3D"/>
    <w:rsid w:val="00F43411"/>
    <w:rsid w:val="00F4480E"/>
    <w:rsid w:val="00F4512F"/>
    <w:rsid w:val="00F5105A"/>
    <w:rsid w:val="00F54896"/>
    <w:rsid w:val="00F56655"/>
    <w:rsid w:val="00F61C22"/>
    <w:rsid w:val="00F62BD8"/>
    <w:rsid w:val="00F63296"/>
    <w:rsid w:val="00F638F6"/>
    <w:rsid w:val="00F65F65"/>
    <w:rsid w:val="00F730B9"/>
    <w:rsid w:val="00F752FC"/>
    <w:rsid w:val="00F76D1B"/>
    <w:rsid w:val="00F83047"/>
    <w:rsid w:val="00F84FF4"/>
    <w:rsid w:val="00F85514"/>
    <w:rsid w:val="00F926BF"/>
    <w:rsid w:val="00F92F88"/>
    <w:rsid w:val="00F950F7"/>
    <w:rsid w:val="00F95C41"/>
    <w:rsid w:val="00FA2D2A"/>
    <w:rsid w:val="00FA34E2"/>
    <w:rsid w:val="00FA3531"/>
    <w:rsid w:val="00FA37BF"/>
    <w:rsid w:val="00FA4091"/>
    <w:rsid w:val="00FA5D08"/>
    <w:rsid w:val="00FB51C8"/>
    <w:rsid w:val="00FB7194"/>
    <w:rsid w:val="00FC13BB"/>
    <w:rsid w:val="00FC46F2"/>
    <w:rsid w:val="00FC4872"/>
    <w:rsid w:val="00FC48D7"/>
    <w:rsid w:val="00FC77B1"/>
    <w:rsid w:val="00FD155B"/>
    <w:rsid w:val="00FD2021"/>
    <w:rsid w:val="00FD2C3E"/>
    <w:rsid w:val="00FD3F67"/>
    <w:rsid w:val="00FD7AA8"/>
    <w:rsid w:val="00FD7F07"/>
    <w:rsid w:val="00FE1E12"/>
    <w:rsid w:val="00FE1FF3"/>
    <w:rsid w:val="00FE4018"/>
    <w:rsid w:val="00FE4571"/>
    <w:rsid w:val="00FE5C55"/>
    <w:rsid w:val="00FE602E"/>
    <w:rsid w:val="00FE72D8"/>
    <w:rsid w:val="00FF2395"/>
    <w:rsid w:val="00FF26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C6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footnote text" w:uiPriority="99"/>
    <w:lsdException w:name="annotation text" w:uiPriority="99"/>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F06101"/>
  </w:style>
  <w:style w:type="paragraph" w:styleId="Heading1">
    <w:name w:val="heading 1"/>
    <w:basedOn w:val="Normal"/>
    <w:next w:val="Normal"/>
    <w:link w:val="Heading1Char"/>
    <w:rsid w:val="003731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F82"/>
    <w:rPr>
      <w:rFonts w:ascii="Lucida Grande" w:hAnsi="Lucida Grande" w:cs="Lucida Grande"/>
      <w:sz w:val="18"/>
      <w:szCs w:val="18"/>
    </w:rPr>
  </w:style>
  <w:style w:type="character" w:styleId="Hyperlink">
    <w:name w:val="Hyperlink"/>
    <w:basedOn w:val="DefaultParagraphFont"/>
    <w:uiPriority w:val="99"/>
    <w:unhideWhenUsed/>
    <w:rsid w:val="00F95C41"/>
    <w:rPr>
      <w:color w:val="0000FF" w:themeColor="hyperlink"/>
      <w:u w:val="single"/>
    </w:rPr>
  </w:style>
  <w:style w:type="paragraph" w:styleId="FootnoteText">
    <w:name w:val="footnote text"/>
    <w:basedOn w:val="Normal"/>
    <w:link w:val="FootnoteTextChar"/>
    <w:uiPriority w:val="99"/>
    <w:unhideWhenUsed/>
    <w:rsid w:val="007C54A9"/>
  </w:style>
  <w:style w:type="character" w:customStyle="1" w:styleId="FootnoteTextChar">
    <w:name w:val="Footnote Text Char"/>
    <w:basedOn w:val="DefaultParagraphFont"/>
    <w:link w:val="FootnoteText"/>
    <w:uiPriority w:val="99"/>
    <w:rsid w:val="007C54A9"/>
  </w:style>
  <w:style w:type="character" w:styleId="FootnoteReference">
    <w:name w:val="footnote reference"/>
    <w:basedOn w:val="DefaultParagraphFont"/>
    <w:uiPriority w:val="99"/>
    <w:unhideWhenUsed/>
    <w:rsid w:val="007C54A9"/>
    <w:rPr>
      <w:vertAlign w:val="superscript"/>
    </w:rPr>
  </w:style>
  <w:style w:type="paragraph" w:styleId="ListParagraph">
    <w:name w:val="List Paragraph"/>
    <w:basedOn w:val="Normal"/>
    <w:uiPriority w:val="34"/>
    <w:qFormat/>
    <w:rsid w:val="00E24B75"/>
    <w:pPr>
      <w:ind w:left="720"/>
      <w:contextualSpacing/>
    </w:pPr>
    <w:rPr>
      <w:lang w:eastAsia="ja-JP"/>
    </w:rPr>
  </w:style>
  <w:style w:type="paragraph" w:styleId="Footer">
    <w:name w:val="footer"/>
    <w:basedOn w:val="Normal"/>
    <w:link w:val="FooterChar"/>
    <w:rsid w:val="00E24B75"/>
    <w:pPr>
      <w:tabs>
        <w:tab w:val="center" w:pos="4320"/>
        <w:tab w:val="right" w:pos="8640"/>
      </w:tabs>
    </w:pPr>
  </w:style>
  <w:style w:type="character" w:customStyle="1" w:styleId="FooterChar">
    <w:name w:val="Footer Char"/>
    <w:basedOn w:val="DefaultParagraphFont"/>
    <w:link w:val="Footer"/>
    <w:rsid w:val="00E24B75"/>
  </w:style>
  <w:style w:type="character" w:styleId="PageNumber">
    <w:name w:val="page number"/>
    <w:basedOn w:val="DefaultParagraphFont"/>
    <w:rsid w:val="00E24B75"/>
  </w:style>
  <w:style w:type="paragraph" w:styleId="Header">
    <w:name w:val="header"/>
    <w:basedOn w:val="Normal"/>
    <w:link w:val="HeaderChar"/>
    <w:rsid w:val="00E8122C"/>
    <w:pPr>
      <w:tabs>
        <w:tab w:val="center" w:pos="4320"/>
        <w:tab w:val="right" w:pos="8640"/>
      </w:tabs>
    </w:pPr>
  </w:style>
  <w:style w:type="character" w:customStyle="1" w:styleId="HeaderChar">
    <w:name w:val="Header Char"/>
    <w:basedOn w:val="DefaultParagraphFont"/>
    <w:link w:val="Header"/>
    <w:uiPriority w:val="99"/>
    <w:rsid w:val="00E8122C"/>
  </w:style>
  <w:style w:type="paragraph" w:styleId="NoSpacing">
    <w:name w:val="No Spacing"/>
    <w:link w:val="NoSpacingChar"/>
    <w:qFormat/>
    <w:rsid w:val="00E8122C"/>
    <w:rPr>
      <w:rFonts w:ascii="PMingLiU" w:hAnsi="PMingLiU"/>
      <w:sz w:val="22"/>
      <w:szCs w:val="22"/>
    </w:rPr>
  </w:style>
  <w:style w:type="character" w:customStyle="1" w:styleId="NoSpacingChar">
    <w:name w:val="No Spacing Char"/>
    <w:basedOn w:val="DefaultParagraphFont"/>
    <w:link w:val="NoSpacing"/>
    <w:rsid w:val="00E8122C"/>
    <w:rPr>
      <w:rFonts w:ascii="PMingLiU" w:hAnsi="PMingLiU"/>
      <w:sz w:val="22"/>
      <w:szCs w:val="22"/>
    </w:rPr>
  </w:style>
  <w:style w:type="table" w:styleId="TableGrid">
    <w:name w:val="Table Grid"/>
    <w:basedOn w:val="TableNormal"/>
    <w:uiPriority w:val="59"/>
    <w:rsid w:val="008B1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63408C"/>
    <w:pPr>
      <w:spacing w:beforeLines="1" w:afterLines="1"/>
    </w:pPr>
    <w:rPr>
      <w:rFonts w:ascii="Times" w:hAnsi="Times" w:cs="Times New Roman"/>
      <w:sz w:val="20"/>
      <w:szCs w:val="20"/>
    </w:rPr>
  </w:style>
  <w:style w:type="character" w:styleId="CommentReference">
    <w:name w:val="annotation reference"/>
    <w:basedOn w:val="DefaultParagraphFont"/>
    <w:uiPriority w:val="99"/>
    <w:semiHidden/>
    <w:unhideWhenUsed/>
    <w:rsid w:val="00CB6EF0"/>
    <w:rPr>
      <w:sz w:val="18"/>
      <w:szCs w:val="18"/>
    </w:rPr>
  </w:style>
  <w:style w:type="paragraph" w:styleId="CommentText">
    <w:name w:val="annotation text"/>
    <w:basedOn w:val="Normal"/>
    <w:link w:val="CommentTextChar"/>
    <w:uiPriority w:val="99"/>
    <w:semiHidden/>
    <w:unhideWhenUsed/>
    <w:rsid w:val="00CB6EF0"/>
    <w:rPr>
      <w:lang w:eastAsia="ja-JP"/>
    </w:rPr>
  </w:style>
  <w:style w:type="character" w:customStyle="1" w:styleId="CommentTextChar">
    <w:name w:val="Comment Text Char"/>
    <w:basedOn w:val="DefaultParagraphFont"/>
    <w:link w:val="CommentText"/>
    <w:uiPriority w:val="99"/>
    <w:semiHidden/>
    <w:rsid w:val="00CB6EF0"/>
    <w:rPr>
      <w:lang w:eastAsia="ja-JP"/>
    </w:rPr>
  </w:style>
  <w:style w:type="character" w:customStyle="1" w:styleId="Heading1Char">
    <w:name w:val="Heading 1 Char"/>
    <w:basedOn w:val="DefaultParagraphFont"/>
    <w:link w:val="Heading1"/>
    <w:rsid w:val="00373163"/>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footnote text" w:uiPriority="99"/>
    <w:lsdException w:name="annotation text" w:uiPriority="99"/>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F06101"/>
  </w:style>
  <w:style w:type="paragraph" w:styleId="Heading1">
    <w:name w:val="heading 1"/>
    <w:basedOn w:val="Normal"/>
    <w:next w:val="Normal"/>
    <w:link w:val="Heading1Char"/>
    <w:rsid w:val="003731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F82"/>
    <w:rPr>
      <w:rFonts w:ascii="Lucida Grande" w:hAnsi="Lucida Grande" w:cs="Lucida Grande"/>
      <w:sz w:val="18"/>
      <w:szCs w:val="18"/>
    </w:rPr>
  </w:style>
  <w:style w:type="character" w:styleId="Hyperlink">
    <w:name w:val="Hyperlink"/>
    <w:basedOn w:val="DefaultParagraphFont"/>
    <w:uiPriority w:val="99"/>
    <w:unhideWhenUsed/>
    <w:rsid w:val="00F95C41"/>
    <w:rPr>
      <w:color w:val="0000FF" w:themeColor="hyperlink"/>
      <w:u w:val="single"/>
    </w:rPr>
  </w:style>
  <w:style w:type="paragraph" w:styleId="FootnoteText">
    <w:name w:val="footnote text"/>
    <w:basedOn w:val="Normal"/>
    <w:link w:val="FootnoteTextChar"/>
    <w:uiPriority w:val="99"/>
    <w:unhideWhenUsed/>
    <w:rsid w:val="007C54A9"/>
  </w:style>
  <w:style w:type="character" w:customStyle="1" w:styleId="FootnoteTextChar">
    <w:name w:val="Footnote Text Char"/>
    <w:basedOn w:val="DefaultParagraphFont"/>
    <w:link w:val="FootnoteText"/>
    <w:uiPriority w:val="99"/>
    <w:rsid w:val="007C54A9"/>
  </w:style>
  <w:style w:type="character" w:styleId="FootnoteReference">
    <w:name w:val="footnote reference"/>
    <w:basedOn w:val="DefaultParagraphFont"/>
    <w:uiPriority w:val="99"/>
    <w:unhideWhenUsed/>
    <w:rsid w:val="007C54A9"/>
    <w:rPr>
      <w:vertAlign w:val="superscript"/>
    </w:rPr>
  </w:style>
  <w:style w:type="paragraph" w:styleId="ListParagraph">
    <w:name w:val="List Paragraph"/>
    <w:basedOn w:val="Normal"/>
    <w:uiPriority w:val="34"/>
    <w:qFormat/>
    <w:rsid w:val="00E24B75"/>
    <w:pPr>
      <w:ind w:left="720"/>
      <w:contextualSpacing/>
    </w:pPr>
    <w:rPr>
      <w:lang w:eastAsia="ja-JP"/>
    </w:rPr>
  </w:style>
  <w:style w:type="paragraph" w:styleId="Footer">
    <w:name w:val="footer"/>
    <w:basedOn w:val="Normal"/>
    <w:link w:val="FooterChar"/>
    <w:rsid w:val="00E24B75"/>
    <w:pPr>
      <w:tabs>
        <w:tab w:val="center" w:pos="4320"/>
        <w:tab w:val="right" w:pos="8640"/>
      </w:tabs>
    </w:pPr>
  </w:style>
  <w:style w:type="character" w:customStyle="1" w:styleId="FooterChar">
    <w:name w:val="Footer Char"/>
    <w:basedOn w:val="DefaultParagraphFont"/>
    <w:link w:val="Footer"/>
    <w:rsid w:val="00E24B75"/>
  </w:style>
  <w:style w:type="character" w:styleId="PageNumber">
    <w:name w:val="page number"/>
    <w:basedOn w:val="DefaultParagraphFont"/>
    <w:rsid w:val="00E24B75"/>
  </w:style>
  <w:style w:type="paragraph" w:styleId="Header">
    <w:name w:val="header"/>
    <w:basedOn w:val="Normal"/>
    <w:link w:val="HeaderChar"/>
    <w:rsid w:val="00E8122C"/>
    <w:pPr>
      <w:tabs>
        <w:tab w:val="center" w:pos="4320"/>
        <w:tab w:val="right" w:pos="8640"/>
      </w:tabs>
    </w:pPr>
  </w:style>
  <w:style w:type="character" w:customStyle="1" w:styleId="HeaderChar">
    <w:name w:val="Header Char"/>
    <w:basedOn w:val="DefaultParagraphFont"/>
    <w:link w:val="Header"/>
    <w:uiPriority w:val="99"/>
    <w:rsid w:val="00E8122C"/>
  </w:style>
  <w:style w:type="paragraph" w:styleId="NoSpacing">
    <w:name w:val="No Spacing"/>
    <w:link w:val="NoSpacingChar"/>
    <w:qFormat/>
    <w:rsid w:val="00E8122C"/>
    <w:rPr>
      <w:rFonts w:ascii="PMingLiU" w:hAnsi="PMingLiU"/>
      <w:sz w:val="22"/>
      <w:szCs w:val="22"/>
    </w:rPr>
  </w:style>
  <w:style w:type="character" w:customStyle="1" w:styleId="NoSpacingChar">
    <w:name w:val="No Spacing Char"/>
    <w:basedOn w:val="DefaultParagraphFont"/>
    <w:link w:val="NoSpacing"/>
    <w:rsid w:val="00E8122C"/>
    <w:rPr>
      <w:rFonts w:ascii="PMingLiU" w:hAnsi="PMingLiU"/>
      <w:sz w:val="22"/>
      <w:szCs w:val="22"/>
    </w:rPr>
  </w:style>
  <w:style w:type="table" w:styleId="TableGrid">
    <w:name w:val="Table Grid"/>
    <w:basedOn w:val="TableNormal"/>
    <w:uiPriority w:val="59"/>
    <w:rsid w:val="008B1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63408C"/>
    <w:pPr>
      <w:spacing w:beforeLines="1" w:afterLines="1"/>
    </w:pPr>
    <w:rPr>
      <w:rFonts w:ascii="Times" w:hAnsi="Times" w:cs="Times New Roman"/>
      <w:sz w:val="20"/>
      <w:szCs w:val="20"/>
    </w:rPr>
  </w:style>
  <w:style w:type="character" w:styleId="CommentReference">
    <w:name w:val="annotation reference"/>
    <w:basedOn w:val="DefaultParagraphFont"/>
    <w:uiPriority w:val="99"/>
    <w:semiHidden/>
    <w:unhideWhenUsed/>
    <w:rsid w:val="00CB6EF0"/>
    <w:rPr>
      <w:sz w:val="18"/>
      <w:szCs w:val="18"/>
    </w:rPr>
  </w:style>
  <w:style w:type="paragraph" w:styleId="CommentText">
    <w:name w:val="annotation text"/>
    <w:basedOn w:val="Normal"/>
    <w:link w:val="CommentTextChar"/>
    <w:uiPriority w:val="99"/>
    <w:semiHidden/>
    <w:unhideWhenUsed/>
    <w:rsid w:val="00CB6EF0"/>
    <w:rPr>
      <w:lang w:eastAsia="ja-JP"/>
    </w:rPr>
  </w:style>
  <w:style w:type="character" w:customStyle="1" w:styleId="CommentTextChar">
    <w:name w:val="Comment Text Char"/>
    <w:basedOn w:val="DefaultParagraphFont"/>
    <w:link w:val="CommentText"/>
    <w:uiPriority w:val="99"/>
    <w:semiHidden/>
    <w:rsid w:val="00CB6EF0"/>
    <w:rPr>
      <w:lang w:eastAsia="ja-JP"/>
    </w:rPr>
  </w:style>
  <w:style w:type="character" w:customStyle="1" w:styleId="Heading1Char">
    <w:name w:val="Heading 1 Char"/>
    <w:basedOn w:val="DefaultParagraphFont"/>
    <w:link w:val="Heading1"/>
    <w:rsid w:val="0037316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140">
      <w:bodyDiv w:val="1"/>
      <w:marLeft w:val="0"/>
      <w:marRight w:val="0"/>
      <w:marTop w:val="0"/>
      <w:marBottom w:val="0"/>
      <w:divBdr>
        <w:top w:val="none" w:sz="0" w:space="0" w:color="auto"/>
        <w:left w:val="none" w:sz="0" w:space="0" w:color="auto"/>
        <w:bottom w:val="none" w:sz="0" w:space="0" w:color="auto"/>
        <w:right w:val="none" w:sz="0" w:space="0" w:color="auto"/>
      </w:divBdr>
    </w:div>
    <w:div w:id="112486797">
      <w:bodyDiv w:val="1"/>
      <w:marLeft w:val="0"/>
      <w:marRight w:val="0"/>
      <w:marTop w:val="0"/>
      <w:marBottom w:val="0"/>
      <w:divBdr>
        <w:top w:val="none" w:sz="0" w:space="0" w:color="auto"/>
        <w:left w:val="none" w:sz="0" w:space="0" w:color="auto"/>
        <w:bottom w:val="none" w:sz="0" w:space="0" w:color="auto"/>
        <w:right w:val="none" w:sz="0" w:space="0" w:color="auto"/>
      </w:divBdr>
    </w:div>
    <w:div w:id="121584558">
      <w:bodyDiv w:val="1"/>
      <w:marLeft w:val="0"/>
      <w:marRight w:val="0"/>
      <w:marTop w:val="0"/>
      <w:marBottom w:val="0"/>
      <w:divBdr>
        <w:top w:val="none" w:sz="0" w:space="0" w:color="auto"/>
        <w:left w:val="none" w:sz="0" w:space="0" w:color="auto"/>
        <w:bottom w:val="none" w:sz="0" w:space="0" w:color="auto"/>
        <w:right w:val="none" w:sz="0" w:space="0" w:color="auto"/>
      </w:divBdr>
    </w:div>
    <w:div w:id="152183293">
      <w:bodyDiv w:val="1"/>
      <w:marLeft w:val="0"/>
      <w:marRight w:val="0"/>
      <w:marTop w:val="0"/>
      <w:marBottom w:val="0"/>
      <w:divBdr>
        <w:top w:val="none" w:sz="0" w:space="0" w:color="auto"/>
        <w:left w:val="none" w:sz="0" w:space="0" w:color="auto"/>
        <w:bottom w:val="none" w:sz="0" w:space="0" w:color="auto"/>
        <w:right w:val="none" w:sz="0" w:space="0" w:color="auto"/>
      </w:divBdr>
    </w:div>
    <w:div w:id="257757598">
      <w:bodyDiv w:val="1"/>
      <w:marLeft w:val="0"/>
      <w:marRight w:val="0"/>
      <w:marTop w:val="0"/>
      <w:marBottom w:val="0"/>
      <w:divBdr>
        <w:top w:val="none" w:sz="0" w:space="0" w:color="auto"/>
        <w:left w:val="none" w:sz="0" w:space="0" w:color="auto"/>
        <w:bottom w:val="none" w:sz="0" w:space="0" w:color="auto"/>
        <w:right w:val="none" w:sz="0" w:space="0" w:color="auto"/>
      </w:divBdr>
    </w:div>
    <w:div w:id="311178171">
      <w:bodyDiv w:val="1"/>
      <w:marLeft w:val="0"/>
      <w:marRight w:val="0"/>
      <w:marTop w:val="0"/>
      <w:marBottom w:val="0"/>
      <w:divBdr>
        <w:top w:val="none" w:sz="0" w:space="0" w:color="auto"/>
        <w:left w:val="none" w:sz="0" w:space="0" w:color="auto"/>
        <w:bottom w:val="none" w:sz="0" w:space="0" w:color="auto"/>
        <w:right w:val="none" w:sz="0" w:space="0" w:color="auto"/>
      </w:divBdr>
    </w:div>
    <w:div w:id="344552182">
      <w:bodyDiv w:val="1"/>
      <w:marLeft w:val="0"/>
      <w:marRight w:val="0"/>
      <w:marTop w:val="0"/>
      <w:marBottom w:val="0"/>
      <w:divBdr>
        <w:top w:val="none" w:sz="0" w:space="0" w:color="auto"/>
        <w:left w:val="none" w:sz="0" w:space="0" w:color="auto"/>
        <w:bottom w:val="none" w:sz="0" w:space="0" w:color="auto"/>
        <w:right w:val="none" w:sz="0" w:space="0" w:color="auto"/>
      </w:divBdr>
    </w:div>
    <w:div w:id="359353542">
      <w:bodyDiv w:val="1"/>
      <w:marLeft w:val="0"/>
      <w:marRight w:val="0"/>
      <w:marTop w:val="0"/>
      <w:marBottom w:val="0"/>
      <w:divBdr>
        <w:top w:val="none" w:sz="0" w:space="0" w:color="auto"/>
        <w:left w:val="none" w:sz="0" w:space="0" w:color="auto"/>
        <w:bottom w:val="none" w:sz="0" w:space="0" w:color="auto"/>
        <w:right w:val="none" w:sz="0" w:space="0" w:color="auto"/>
      </w:divBdr>
    </w:div>
    <w:div w:id="390615025">
      <w:bodyDiv w:val="1"/>
      <w:marLeft w:val="0"/>
      <w:marRight w:val="0"/>
      <w:marTop w:val="0"/>
      <w:marBottom w:val="0"/>
      <w:divBdr>
        <w:top w:val="none" w:sz="0" w:space="0" w:color="auto"/>
        <w:left w:val="none" w:sz="0" w:space="0" w:color="auto"/>
        <w:bottom w:val="none" w:sz="0" w:space="0" w:color="auto"/>
        <w:right w:val="none" w:sz="0" w:space="0" w:color="auto"/>
      </w:divBdr>
    </w:div>
    <w:div w:id="472062585">
      <w:bodyDiv w:val="1"/>
      <w:marLeft w:val="0"/>
      <w:marRight w:val="0"/>
      <w:marTop w:val="0"/>
      <w:marBottom w:val="0"/>
      <w:divBdr>
        <w:top w:val="none" w:sz="0" w:space="0" w:color="auto"/>
        <w:left w:val="none" w:sz="0" w:space="0" w:color="auto"/>
        <w:bottom w:val="none" w:sz="0" w:space="0" w:color="auto"/>
        <w:right w:val="none" w:sz="0" w:space="0" w:color="auto"/>
      </w:divBdr>
    </w:div>
    <w:div w:id="477263398">
      <w:bodyDiv w:val="1"/>
      <w:marLeft w:val="0"/>
      <w:marRight w:val="0"/>
      <w:marTop w:val="0"/>
      <w:marBottom w:val="0"/>
      <w:divBdr>
        <w:top w:val="none" w:sz="0" w:space="0" w:color="auto"/>
        <w:left w:val="none" w:sz="0" w:space="0" w:color="auto"/>
        <w:bottom w:val="none" w:sz="0" w:space="0" w:color="auto"/>
        <w:right w:val="none" w:sz="0" w:space="0" w:color="auto"/>
      </w:divBdr>
      <w:divsChild>
        <w:div w:id="743181150">
          <w:marLeft w:val="0"/>
          <w:marRight w:val="0"/>
          <w:marTop w:val="0"/>
          <w:marBottom w:val="0"/>
          <w:divBdr>
            <w:top w:val="none" w:sz="0" w:space="0" w:color="auto"/>
            <w:left w:val="none" w:sz="0" w:space="0" w:color="auto"/>
            <w:bottom w:val="none" w:sz="0" w:space="0" w:color="auto"/>
            <w:right w:val="none" w:sz="0" w:space="0" w:color="auto"/>
          </w:divBdr>
        </w:div>
      </w:divsChild>
    </w:div>
    <w:div w:id="495652467">
      <w:bodyDiv w:val="1"/>
      <w:marLeft w:val="0"/>
      <w:marRight w:val="0"/>
      <w:marTop w:val="0"/>
      <w:marBottom w:val="0"/>
      <w:divBdr>
        <w:top w:val="none" w:sz="0" w:space="0" w:color="auto"/>
        <w:left w:val="none" w:sz="0" w:space="0" w:color="auto"/>
        <w:bottom w:val="none" w:sz="0" w:space="0" w:color="auto"/>
        <w:right w:val="none" w:sz="0" w:space="0" w:color="auto"/>
      </w:divBdr>
    </w:div>
    <w:div w:id="513610766">
      <w:bodyDiv w:val="1"/>
      <w:marLeft w:val="0"/>
      <w:marRight w:val="0"/>
      <w:marTop w:val="0"/>
      <w:marBottom w:val="0"/>
      <w:divBdr>
        <w:top w:val="none" w:sz="0" w:space="0" w:color="auto"/>
        <w:left w:val="none" w:sz="0" w:space="0" w:color="auto"/>
        <w:bottom w:val="none" w:sz="0" w:space="0" w:color="auto"/>
        <w:right w:val="none" w:sz="0" w:space="0" w:color="auto"/>
      </w:divBdr>
      <w:divsChild>
        <w:div w:id="1410927904">
          <w:marLeft w:val="0"/>
          <w:marRight w:val="0"/>
          <w:marTop w:val="0"/>
          <w:marBottom w:val="0"/>
          <w:divBdr>
            <w:top w:val="none" w:sz="0" w:space="0" w:color="auto"/>
            <w:left w:val="none" w:sz="0" w:space="0" w:color="auto"/>
            <w:bottom w:val="none" w:sz="0" w:space="0" w:color="auto"/>
            <w:right w:val="none" w:sz="0" w:space="0" w:color="auto"/>
          </w:divBdr>
        </w:div>
      </w:divsChild>
    </w:div>
    <w:div w:id="543450307">
      <w:bodyDiv w:val="1"/>
      <w:marLeft w:val="0"/>
      <w:marRight w:val="0"/>
      <w:marTop w:val="0"/>
      <w:marBottom w:val="0"/>
      <w:divBdr>
        <w:top w:val="none" w:sz="0" w:space="0" w:color="auto"/>
        <w:left w:val="none" w:sz="0" w:space="0" w:color="auto"/>
        <w:bottom w:val="none" w:sz="0" w:space="0" w:color="auto"/>
        <w:right w:val="none" w:sz="0" w:space="0" w:color="auto"/>
      </w:divBdr>
    </w:div>
    <w:div w:id="637151867">
      <w:bodyDiv w:val="1"/>
      <w:marLeft w:val="0"/>
      <w:marRight w:val="0"/>
      <w:marTop w:val="0"/>
      <w:marBottom w:val="0"/>
      <w:divBdr>
        <w:top w:val="none" w:sz="0" w:space="0" w:color="auto"/>
        <w:left w:val="none" w:sz="0" w:space="0" w:color="auto"/>
        <w:bottom w:val="none" w:sz="0" w:space="0" w:color="auto"/>
        <w:right w:val="none" w:sz="0" w:space="0" w:color="auto"/>
      </w:divBdr>
    </w:div>
    <w:div w:id="657346448">
      <w:bodyDiv w:val="1"/>
      <w:marLeft w:val="0"/>
      <w:marRight w:val="0"/>
      <w:marTop w:val="0"/>
      <w:marBottom w:val="0"/>
      <w:divBdr>
        <w:top w:val="none" w:sz="0" w:space="0" w:color="auto"/>
        <w:left w:val="none" w:sz="0" w:space="0" w:color="auto"/>
        <w:bottom w:val="none" w:sz="0" w:space="0" w:color="auto"/>
        <w:right w:val="none" w:sz="0" w:space="0" w:color="auto"/>
      </w:divBdr>
      <w:divsChild>
        <w:div w:id="1848789932">
          <w:marLeft w:val="0"/>
          <w:marRight w:val="0"/>
          <w:marTop w:val="0"/>
          <w:marBottom w:val="0"/>
          <w:divBdr>
            <w:top w:val="none" w:sz="0" w:space="0" w:color="auto"/>
            <w:left w:val="none" w:sz="0" w:space="0" w:color="auto"/>
            <w:bottom w:val="none" w:sz="0" w:space="0" w:color="auto"/>
            <w:right w:val="none" w:sz="0" w:space="0" w:color="auto"/>
          </w:divBdr>
        </w:div>
      </w:divsChild>
    </w:div>
    <w:div w:id="658651522">
      <w:bodyDiv w:val="1"/>
      <w:marLeft w:val="0"/>
      <w:marRight w:val="0"/>
      <w:marTop w:val="0"/>
      <w:marBottom w:val="0"/>
      <w:divBdr>
        <w:top w:val="none" w:sz="0" w:space="0" w:color="auto"/>
        <w:left w:val="none" w:sz="0" w:space="0" w:color="auto"/>
        <w:bottom w:val="none" w:sz="0" w:space="0" w:color="auto"/>
        <w:right w:val="none" w:sz="0" w:space="0" w:color="auto"/>
      </w:divBdr>
    </w:div>
    <w:div w:id="718629917">
      <w:bodyDiv w:val="1"/>
      <w:marLeft w:val="0"/>
      <w:marRight w:val="0"/>
      <w:marTop w:val="0"/>
      <w:marBottom w:val="0"/>
      <w:divBdr>
        <w:top w:val="none" w:sz="0" w:space="0" w:color="auto"/>
        <w:left w:val="none" w:sz="0" w:space="0" w:color="auto"/>
        <w:bottom w:val="none" w:sz="0" w:space="0" w:color="auto"/>
        <w:right w:val="none" w:sz="0" w:space="0" w:color="auto"/>
      </w:divBdr>
    </w:div>
    <w:div w:id="745229416">
      <w:bodyDiv w:val="1"/>
      <w:marLeft w:val="0"/>
      <w:marRight w:val="0"/>
      <w:marTop w:val="0"/>
      <w:marBottom w:val="0"/>
      <w:divBdr>
        <w:top w:val="none" w:sz="0" w:space="0" w:color="auto"/>
        <w:left w:val="none" w:sz="0" w:space="0" w:color="auto"/>
        <w:bottom w:val="none" w:sz="0" w:space="0" w:color="auto"/>
        <w:right w:val="none" w:sz="0" w:space="0" w:color="auto"/>
      </w:divBdr>
      <w:divsChild>
        <w:div w:id="208499187">
          <w:marLeft w:val="0"/>
          <w:marRight w:val="0"/>
          <w:marTop w:val="0"/>
          <w:marBottom w:val="0"/>
          <w:divBdr>
            <w:top w:val="none" w:sz="0" w:space="0" w:color="auto"/>
            <w:left w:val="none" w:sz="0" w:space="0" w:color="auto"/>
            <w:bottom w:val="none" w:sz="0" w:space="0" w:color="auto"/>
            <w:right w:val="none" w:sz="0" w:space="0" w:color="auto"/>
          </w:divBdr>
          <w:divsChild>
            <w:div w:id="174148570">
              <w:marLeft w:val="0"/>
              <w:marRight w:val="0"/>
              <w:marTop w:val="0"/>
              <w:marBottom w:val="0"/>
              <w:divBdr>
                <w:top w:val="none" w:sz="0" w:space="0" w:color="auto"/>
                <w:left w:val="none" w:sz="0" w:space="0" w:color="auto"/>
                <w:bottom w:val="none" w:sz="0" w:space="0" w:color="auto"/>
                <w:right w:val="none" w:sz="0" w:space="0" w:color="auto"/>
              </w:divBdr>
              <w:divsChild>
                <w:div w:id="13723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3599">
      <w:bodyDiv w:val="1"/>
      <w:marLeft w:val="0"/>
      <w:marRight w:val="0"/>
      <w:marTop w:val="0"/>
      <w:marBottom w:val="0"/>
      <w:divBdr>
        <w:top w:val="none" w:sz="0" w:space="0" w:color="auto"/>
        <w:left w:val="none" w:sz="0" w:space="0" w:color="auto"/>
        <w:bottom w:val="none" w:sz="0" w:space="0" w:color="auto"/>
        <w:right w:val="none" w:sz="0" w:space="0" w:color="auto"/>
      </w:divBdr>
      <w:divsChild>
        <w:div w:id="1960723719">
          <w:marLeft w:val="0"/>
          <w:marRight w:val="0"/>
          <w:marTop w:val="0"/>
          <w:marBottom w:val="0"/>
          <w:divBdr>
            <w:top w:val="none" w:sz="0" w:space="0" w:color="auto"/>
            <w:left w:val="none" w:sz="0" w:space="0" w:color="auto"/>
            <w:bottom w:val="none" w:sz="0" w:space="0" w:color="auto"/>
            <w:right w:val="none" w:sz="0" w:space="0" w:color="auto"/>
          </w:divBdr>
          <w:divsChild>
            <w:div w:id="1578202684">
              <w:marLeft w:val="0"/>
              <w:marRight w:val="0"/>
              <w:marTop w:val="0"/>
              <w:marBottom w:val="0"/>
              <w:divBdr>
                <w:top w:val="none" w:sz="0" w:space="0" w:color="auto"/>
                <w:left w:val="none" w:sz="0" w:space="0" w:color="auto"/>
                <w:bottom w:val="none" w:sz="0" w:space="0" w:color="auto"/>
                <w:right w:val="none" w:sz="0" w:space="0" w:color="auto"/>
              </w:divBdr>
              <w:divsChild>
                <w:div w:id="5792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5437">
      <w:bodyDiv w:val="1"/>
      <w:marLeft w:val="0"/>
      <w:marRight w:val="0"/>
      <w:marTop w:val="0"/>
      <w:marBottom w:val="0"/>
      <w:divBdr>
        <w:top w:val="none" w:sz="0" w:space="0" w:color="auto"/>
        <w:left w:val="none" w:sz="0" w:space="0" w:color="auto"/>
        <w:bottom w:val="none" w:sz="0" w:space="0" w:color="auto"/>
        <w:right w:val="none" w:sz="0" w:space="0" w:color="auto"/>
      </w:divBdr>
      <w:divsChild>
        <w:div w:id="1649478054">
          <w:marLeft w:val="0"/>
          <w:marRight w:val="0"/>
          <w:marTop w:val="0"/>
          <w:marBottom w:val="0"/>
          <w:divBdr>
            <w:top w:val="none" w:sz="0" w:space="0" w:color="auto"/>
            <w:left w:val="none" w:sz="0" w:space="0" w:color="auto"/>
            <w:bottom w:val="none" w:sz="0" w:space="0" w:color="auto"/>
            <w:right w:val="none" w:sz="0" w:space="0" w:color="auto"/>
          </w:divBdr>
        </w:div>
      </w:divsChild>
    </w:div>
    <w:div w:id="9126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522136">
          <w:marLeft w:val="0"/>
          <w:marRight w:val="0"/>
          <w:marTop w:val="0"/>
          <w:marBottom w:val="0"/>
          <w:divBdr>
            <w:top w:val="none" w:sz="0" w:space="0" w:color="auto"/>
            <w:left w:val="none" w:sz="0" w:space="0" w:color="auto"/>
            <w:bottom w:val="none" w:sz="0" w:space="0" w:color="auto"/>
            <w:right w:val="none" w:sz="0" w:space="0" w:color="auto"/>
          </w:divBdr>
        </w:div>
      </w:divsChild>
    </w:div>
    <w:div w:id="977145575">
      <w:bodyDiv w:val="1"/>
      <w:marLeft w:val="0"/>
      <w:marRight w:val="0"/>
      <w:marTop w:val="0"/>
      <w:marBottom w:val="0"/>
      <w:divBdr>
        <w:top w:val="none" w:sz="0" w:space="0" w:color="auto"/>
        <w:left w:val="none" w:sz="0" w:space="0" w:color="auto"/>
        <w:bottom w:val="none" w:sz="0" w:space="0" w:color="auto"/>
        <w:right w:val="none" w:sz="0" w:space="0" w:color="auto"/>
      </w:divBdr>
    </w:div>
    <w:div w:id="1005397246">
      <w:bodyDiv w:val="1"/>
      <w:marLeft w:val="0"/>
      <w:marRight w:val="0"/>
      <w:marTop w:val="0"/>
      <w:marBottom w:val="0"/>
      <w:divBdr>
        <w:top w:val="none" w:sz="0" w:space="0" w:color="auto"/>
        <w:left w:val="none" w:sz="0" w:space="0" w:color="auto"/>
        <w:bottom w:val="none" w:sz="0" w:space="0" w:color="auto"/>
        <w:right w:val="none" w:sz="0" w:space="0" w:color="auto"/>
      </w:divBdr>
      <w:divsChild>
        <w:div w:id="917206166">
          <w:marLeft w:val="0"/>
          <w:marRight w:val="0"/>
          <w:marTop w:val="0"/>
          <w:marBottom w:val="0"/>
          <w:divBdr>
            <w:top w:val="none" w:sz="0" w:space="0" w:color="auto"/>
            <w:left w:val="none" w:sz="0" w:space="0" w:color="auto"/>
            <w:bottom w:val="none" w:sz="0" w:space="0" w:color="auto"/>
            <w:right w:val="none" w:sz="0" w:space="0" w:color="auto"/>
          </w:divBdr>
          <w:divsChild>
            <w:div w:id="1830242217">
              <w:marLeft w:val="0"/>
              <w:marRight w:val="0"/>
              <w:marTop w:val="0"/>
              <w:marBottom w:val="0"/>
              <w:divBdr>
                <w:top w:val="none" w:sz="0" w:space="0" w:color="auto"/>
                <w:left w:val="none" w:sz="0" w:space="0" w:color="auto"/>
                <w:bottom w:val="none" w:sz="0" w:space="0" w:color="auto"/>
                <w:right w:val="none" w:sz="0" w:space="0" w:color="auto"/>
              </w:divBdr>
              <w:divsChild>
                <w:div w:id="1571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1048">
      <w:bodyDiv w:val="1"/>
      <w:marLeft w:val="0"/>
      <w:marRight w:val="0"/>
      <w:marTop w:val="0"/>
      <w:marBottom w:val="0"/>
      <w:divBdr>
        <w:top w:val="none" w:sz="0" w:space="0" w:color="auto"/>
        <w:left w:val="none" w:sz="0" w:space="0" w:color="auto"/>
        <w:bottom w:val="none" w:sz="0" w:space="0" w:color="auto"/>
        <w:right w:val="none" w:sz="0" w:space="0" w:color="auto"/>
      </w:divBdr>
    </w:div>
    <w:div w:id="1054886671">
      <w:bodyDiv w:val="1"/>
      <w:marLeft w:val="0"/>
      <w:marRight w:val="0"/>
      <w:marTop w:val="0"/>
      <w:marBottom w:val="0"/>
      <w:divBdr>
        <w:top w:val="none" w:sz="0" w:space="0" w:color="auto"/>
        <w:left w:val="none" w:sz="0" w:space="0" w:color="auto"/>
        <w:bottom w:val="none" w:sz="0" w:space="0" w:color="auto"/>
        <w:right w:val="none" w:sz="0" w:space="0" w:color="auto"/>
      </w:divBdr>
    </w:div>
    <w:div w:id="1077239693">
      <w:bodyDiv w:val="1"/>
      <w:marLeft w:val="0"/>
      <w:marRight w:val="0"/>
      <w:marTop w:val="0"/>
      <w:marBottom w:val="0"/>
      <w:divBdr>
        <w:top w:val="none" w:sz="0" w:space="0" w:color="auto"/>
        <w:left w:val="none" w:sz="0" w:space="0" w:color="auto"/>
        <w:bottom w:val="none" w:sz="0" w:space="0" w:color="auto"/>
        <w:right w:val="none" w:sz="0" w:space="0" w:color="auto"/>
      </w:divBdr>
    </w:div>
    <w:div w:id="1108549432">
      <w:bodyDiv w:val="1"/>
      <w:marLeft w:val="0"/>
      <w:marRight w:val="0"/>
      <w:marTop w:val="0"/>
      <w:marBottom w:val="0"/>
      <w:divBdr>
        <w:top w:val="none" w:sz="0" w:space="0" w:color="auto"/>
        <w:left w:val="none" w:sz="0" w:space="0" w:color="auto"/>
        <w:bottom w:val="none" w:sz="0" w:space="0" w:color="auto"/>
        <w:right w:val="none" w:sz="0" w:space="0" w:color="auto"/>
      </w:divBdr>
    </w:div>
    <w:div w:id="1123186103">
      <w:bodyDiv w:val="1"/>
      <w:marLeft w:val="0"/>
      <w:marRight w:val="0"/>
      <w:marTop w:val="0"/>
      <w:marBottom w:val="0"/>
      <w:divBdr>
        <w:top w:val="none" w:sz="0" w:space="0" w:color="auto"/>
        <w:left w:val="none" w:sz="0" w:space="0" w:color="auto"/>
        <w:bottom w:val="none" w:sz="0" w:space="0" w:color="auto"/>
        <w:right w:val="none" w:sz="0" w:space="0" w:color="auto"/>
      </w:divBdr>
      <w:divsChild>
        <w:div w:id="199754000">
          <w:marLeft w:val="0"/>
          <w:marRight w:val="0"/>
          <w:marTop w:val="0"/>
          <w:marBottom w:val="0"/>
          <w:divBdr>
            <w:top w:val="none" w:sz="0" w:space="0" w:color="auto"/>
            <w:left w:val="none" w:sz="0" w:space="0" w:color="auto"/>
            <w:bottom w:val="none" w:sz="0" w:space="0" w:color="auto"/>
            <w:right w:val="none" w:sz="0" w:space="0" w:color="auto"/>
          </w:divBdr>
        </w:div>
      </w:divsChild>
    </w:div>
    <w:div w:id="1140224661">
      <w:bodyDiv w:val="1"/>
      <w:marLeft w:val="0"/>
      <w:marRight w:val="0"/>
      <w:marTop w:val="0"/>
      <w:marBottom w:val="0"/>
      <w:divBdr>
        <w:top w:val="none" w:sz="0" w:space="0" w:color="auto"/>
        <w:left w:val="none" w:sz="0" w:space="0" w:color="auto"/>
        <w:bottom w:val="none" w:sz="0" w:space="0" w:color="auto"/>
        <w:right w:val="none" w:sz="0" w:space="0" w:color="auto"/>
      </w:divBdr>
    </w:div>
    <w:div w:id="1142650628">
      <w:bodyDiv w:val="1"/>
      <w:marLeft w:val="0"/>
      <w:marRight w:val="0"/>
      <w:marTop w:val="0"/>
      <w:marBottom w:val="0"/>
      <w:divBdr>
        <w:top w:val="none" w:sz="0" w:space="0" w:color="auto"/>
        <w:left w:val="none" w:sz="0" w:space="0" w:color="auto"/>
        <w:bottom w:val="none" w:sz="0" w:space="0" w:color="auto"/>
        <w:right w:val="none" w:sz="0" w:space="0" w:color="auto"/>
      </w:divBdr>
    </w:div>
    <w:div w:id="1174370605">
      <w:bodyDiv w:val="1"/>
      <w:marLeft w:val="0"/>
      <w:marRight w:val="0"/>
      <w:marTop w:val="0"/>
      <w:marBottom w:val="0"/>
      <w:divBdr>
        <w:top w:val="none" w:sz="0" w:space="0" w:color="auto"/>
        <w:left w:val="none" w:sz="0" w:space="0" w:color="auto"/>
        <w:bottom w:val="none" w:sz="0" w:space="0" w:color="auto"/>
        <w:right w:val="none" w:sz="0" w:space="0" w:color="auto"/>
      </w:divBdr>
    </w:div>
    <w:div w:id="1181316520">
      <w:bodyDiv w:val="1"/>
      <w:marLeft w:val="0"/>
      <w:marRight w:val="0"/>
      <w:marTop w:val="0"/>
      <w:marBottom w:val="0"/>
      <w:divBdr>
        <w:top w:val="none" w:sz="0" w:space="0" w:color="auto"/>
        <w:left w:val="none" w:sz="0" w:space="0" w:color="auto"/>
        <w:bottom w:val="none" w:sz="0" w:space="0" w:color="auto"/>
        <w:right w:val="none" w:sz="0" w:space="0" w:color="auto"/>
      </w:divBdr>
      <w:divsChild>
        <w:div w:id="970749382">
          <w:marLeft w:val="0"/>
          <w:marRight w:val="0"/>
          <w:marTop w:val="0"/>
          <w:marBottom w:val="0"/>
          <w:divBdr>
            <w:top w:val="none" w:sz="0" w:space="0" w:color="auto"/>
            <w:left w:val="none" w:sz="0" w:space="0" w:color="auto"/>
            <w:bottom w:val="none" w:sz="0" w:space="0" w:color="auto"/>
            <w:right w:val="none" w:sz="0" w:space="0" w:color="auto"/>
          </w:divBdr>
        </w:div>
      </w:divsChild>
    </w:div>
    <w:div w:id="1214925683">
      <w:bodyDiv w:val="1"/>
      <w:marLeft w:val="0"/>
      <w:marRight w:val="0"/>
      <w:marTop w:val="0"/>
      <w:marBottom w:val="0"/>
      <w:divBdr>
        <w:top w:val="none" w:sz="0" w:space="0" w:color="auto"/>
        <w:left w:val="none" w:sz="0" w:space="0" w:color="auto"/>
        <w:bottom w:val="none" w:sz="0" w:space="0" w:color="auto"/>
        <w:right w:val="none" w:sz="0" w:space="0" w:color="auto"/>
      </w:divBdr>
    </w:div>
    <w:div w:id="1312368427">
      <w:bodyDiv w:val="1"/>
      <w:marLeft w:val="0"/>
      <w:marRight w:val="0"/>
      <w:marTop w:val="0"/>
      <w:marBottom w:val="0"/>
      <w:divBdr>
        <w:top w:val="none" w:sz="0" w:space="0" w:color="auto"/>
        <w:left w:val="none" w:sz="0" w:space="0" w:color="auto"/>
        <w:bottom w:val="none" w:sz="0" w:space="0" w:color="auto"/>
        <w:right w:val="none" w:sz="0" w:space="0" w:color="auto"/>
      </w:divBdr>
      <w:divsChild>
        <w:div w:id="1569918405">
          <w:marLeft w:val="0"/>
          <w:marRight w:val="0"/>
          <w:marTop w:val="0"/>
          <w:marBottom w:val="0"/>
          <w:divBdr>
            <w:top w:val="none" w:sz="0" w:space="0" w:color="auto"/>
            <w:left w:val="none" w:sz="0" w:space="0" w:color="auto"/>
            <w:bottom w:val="none" w:sz="0" w:space="0" w:color="auto"/>
            <w:right w:val="none" w:sz="0" w:space="0" w:color="auto"/>
          </w:divBdr>
        </w:div>
      </w:divsChild>
    </w:div>
    <w:div w:id="1321272712">
      <w:bodyDiv w:val="1"/>
      <w:marLeft w:val="0"/>
      <w:marRight w:val="0"/>
      <w:marTop w:val="0"/>
      <w:marBottom w:val="0"/>
      <w:divBdr>
        <w:top w:val="none" w:sz="0" w:space="0" w:color="auto"/>
        <w:left w:val="none" w:sz="0" w:space="0" w:color="auto"/>
        <w:bottom w:val="none" w:sz="0" w:space="0" w:color="auto"/>
        <w:right w:val="none" w:sz="0" w:space="0" w:color="auto"/>
      </w:divBdr>
    </w:div>
    <w:div w:id="1368217024">
      <w:bodyDiv w:val="1"/>
      <w:marLeft w:val="0"/>
      <w:marRight w:val="0"/>
      <w:marTop w:val="0"/>
      <w:marBottom w:val="0"/>
      <w:divBdr>
        <w:top w:val="none" w:sz="0" w:space="0" w:color="auto"/>
        <w:left w:val="none" w:sz="0" w:space="0" w:color="auto"/>
        <w:bottom w:val="none" w:sz="0" w:space="0" w:color="auto"/>
        <w:right w:val="none" w:sz="0" w:space="0" w:color="auto"/>
      </w:divBdr>
    </w:div>
    <w:div w:id="1415710442">
      <w:bodyDiv w:val="1"/>
      <w:marLeft w:val="0"/>
      <w:marRight w:val="0"/>
      <w:marTop w:val="0"/>
      <w:marBottom w:val="0"/>
      <w:divBdr>
        <w:top w:val="none" w:sz="0" w:space="0" w:color="auto"/>
        <w:left w:val="none" w:sz="0" w:space="0" w:color="auto"/>
        <w:bottom w:val="none" w:sz="0" w:space="0" w:color="auto"/>
        <w:right w:val="none" w:sz="0" w:space="0" w:color="auto"/>
      </w:divBdr>
    </w:div>
    <w:div w:id="1477262929">
      <w:bodyDiv w:val="1"/>
      <w:marLeft w:val="0"/>
      <w:marRight w:val="0"/>
      <w:marTop w:val="0"/>
      <w:marBottom w:val="0"/>
      <w:divBdr>
        <w:top w:val="none" w:sz="0" w:space="0" w:color="auto"/>
        <w:left w:val="none" w:sz="0" w:space="0" w:color="auto"/>
        <w:bottom w:val="none" w:sz="0" w:space="0" w:color="auto"/>
        <w:right w:val="none" w:sz="0" w:space="0" w:color="auto"/>
      </w:divBdr>
    </w:div>
    <w:div w:id="1504517333">
      <w:bodyDiv w:val="1"/>
      <w:marLeft w:val="0"/>
      <w:marRight w:val="0"/>
      <w:marTop w:val="0"/>
      <w:marBottom w:val="0"/>
      <w:divBdr>
        <w:top w:val="none" w:sz="0" w:space="0" w:color="auto"/>
        <w:left w:val="none" w:sz="0" w:space="0" w:color="auto"/>
        <w:bottom w:val="none" w:sz="0" w:space="0" w:color="auto"/>
        <w:right w:val="none" w:sz="0" w:space="0" w:color="auto"/>
      </w:divBdr>
    </w:div>
    <w:div w:id="1610039066">
      <w:bodyDiv w:val="1"/>
      <w:marLeft w:val="0"/>
      <w:marRight w:val="0"/>
      <w:marTop w:val="0"/>
      <w:marBottom w:val="0"/>
      <w:divBdr>
        <w:top w:val="none" w:sz="0" w:space="0" w:color="auto"/>
        <w:left w:val="none" w:sz="0" w:space="0" w:color="auto"/>
        <w:bottom w:val="none" w:sz="0" w:space="0" w:color="auto"/>
        <w:right w:val="none" w:sz="0" w:space="0" w:color="auto"/>
      </w:divBdr>
    </w:div>
    <w:div w:id="1619292096">
      <w:bodyDiv w:val="1"/>
      <w:marLeft w:val="0"/>
      <w:marRight w:val="0"/>
      <w:marTop w:val="0"/>
      <w:marBottom w:val="0"/>
      <w:divBdr>
        <w:top w:val="none" w:sz="0" w:space="0" w:color="auto"/>
        <w:left w:val="none" w:sz="0" w:space="0" w:color="auto"/>
        <w:bottom w:val="none" w:sz="0" w:space="0" w:color="auto"/>
        <w:right w:val="none" w:sz="0" w:space="0" w:color="auto"/>
      </w:divBdr>
      <w:divsChild>
        <w:div w:id="867379525">
          <w:marLeft w:val="0"/>
          <w:marRight w:val="0"/>
          <w:marTop w:val="0"/>
          <w:marBottom w:val="0"/>
          <w:divBdr>
            <w:top w:val="none" w:sz="0" w:space="0" w:color="auto"/>
            <w:left w:val="none" w:sz="0" w:space="0" w:color="auto"/>
            <w:bottom w:val="none" w:sz="0" w:space="0" w:color="auto"/>
            <w:right w:val="none" w:sz="0" w:space="0" w:color="auto"/>
          </w:divBdr>
        </w:div>
      </w:divsChild>
    </w:div>
    <w:div w:id="1641770148">
      <w:bodyDiv w:val="1"/>
      <w:marLeft w:val="0"/>
      <w:marRight w:val="0"/>
      <w:marTop w:val="0"/>
      <w:marBottom w:val="0"/>
      <w:divBdr>
        <w:top w:val="none" w:sz="0" w:space="0" w:color="auto"/>
        <w:left w:val="none" w:sz="0" w:space="0" w:color="auto"/>
        <w:bottom w:val="none" w:sz="0" w:space="0" w:color="auto"/>
        <w:right w:val="none" w:sz="0" w:space="0" w:color="auto"/>
      </w:divBdr>
    </w:div>
    <w:div w:id="1645430648">
      <w:bodyDiv w:val="1"/>
      <w:marLeft w:val="0"/>
      <w:marRight w:val="0"/>
      <w:marTop w:val="0"/>
      <w:marBottom w:val="0"/>
      <w:divBdr>
        <w:top w:val="none" w:sz="0" w:space="0" w:color="auto"/>
        <w:left w:val="none" w:sz="0" w:space="0" w:color="auto"/>
        <w:bottom w:val="none" w:sz="0" w:space="0" w:color="auto"/>
        <w:right w:val="none" w:sz="0" w:space="0" w:color="auto"/>
      </w:divBdr>
      <w:divsChild>
        <w:div w:id="723143034">
          <w:marLeft w:val="0"/>
          <w:marRight w:val="0"/>
          <w:marTop w:val="0"/>
          <w:marBottom w:val="0"/>
          <w:divBdr>
            <w:top w:val="none" w:sz="0" w:space="0" w:color="auto"/>
            <w:left w:val="none" w:sz="0" w:space="0" w:color="auto"/>
            <w:bottom w:val="none" w:sz="0" w:space="0" w:color="auto"/>
            <w:right w:val="none" w:sz="0" w:space="0" w:color="auto"/>
          </w:divBdr>
        </w:div>
      </w:divsChild>
    </w:div>
    <w:div w:id="1645616801">
      <w:bodyDiv w:val="1"/>
      <w:marLeft w:val="0"/>
      <w:marRight w:val="0"/>
      <w:marTop w:val="0"/>
      <w:marBottom w:val="0"/>
      <w:divBdr>
        <w:top w:val="none" w:sz="0" w:space="0" w:color="auto"/>
        <w:left w:val="none" w:sz="0" w:space="0" w:color="auto"/>
        <w:bottom w:val="none" w:sz="0" w:space="0" w:color="auto"/>
        <w:right w:val="none" w:sz="0" w:space="0" w:color="auto"/>
      </w:divBdr>
    </w:div>
    <w:div w:id="1665474912">
      <w:bodyDiv w:val="1"/>
      <w:marLeft w:val="0"/>
      <w:marRight w:val="0"/>
      <w:marTop w:val="0"/>
      <w:marBottom w:val="0"/>
      <w:divBdr>
        <w:top w:val="none" w:sz="0" w:space="0" w:color="auto"/>
        <w:left w:val="none" w:sz="0" w:space="0" w:color="auto"/>
        <w:bottom w:val="none" w:sz="0" w:space="0" w:color="auto"/>
        <w:right w:val="none" w:sz="0" w:space="0" w:color="auto"/>
      </w:divBdr>
    </w:div>
    <w:div w:id="1709795658">
      <w:bodyDiv w:val="1"/>
      <w:marLeft w:val="0"/>
      <w:marRight w:val="0"/>
      <w:marTop w:val="0"/>
      <w:marBottom w:val="0"/>
      <w:divBdr>
        <w:top w:val="none" w:sz="0" w:space="0" w:color="auto"/>
        <w:left w:val="none" w:sz="0" w:space="0" w:color="auto"/>
        <w:bottom w:val="none" w:sz="0" w:space="0" w:color="auto"/>
        <w:right w:val="none" w:sz="0" w:space="0" w:color="auto"/>
      </w:divBdr>
      <w:divsChild>
        <w:div w:id="1475608852">
          <w:marLeft w:val="0"/>
          <w:marRight w:val="0"/>
          <w:marTop w:val="0"/>
          <w:marBottom w:val="0"/>
          <w:divBdr>
            <w:top w:val="none" w:sz="0" w:space="0" w:color="auto"/>
            <w:left w:val="none" w:sz="0" w:space="0" w:color="auto"/>
            <w:bottom w:val="none" w:sz="0" w:space="0" w:color="auto"/>
            <w:right w:val="none" w:sz="0" w:space="0" w:color="auto"/>
          </w:divBdr>
          <w:divsChild>
            <w:div w:id="204678856">
              <w:marLeft w:val="0"/>
              <w:marRight w:val="0"/>
              <w:marTop w:val="0"/>
              <w:marBottom w:val="0"/>
              <w:divBdr>
                <w:top w:val="none" w:sz="0" w:space="0" w:color="auto"/>
                <w:left w:val="none" w:sz="0" w:space="0" w:color="auto"/>
                <w:bottom w:val="none" w:sz="0" w:space="0" w:color="auto"/>
                <w:right w:val="none" w:sz="0" w:space="0" w:color="auto"/>
              </w:divBdr>
              <w:divsChild>
                <w:div w:id="19965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8456">
      <w:bodyDiv w:val="1"/>
      <w:marLeft w:val="0"/>
      <w:marRight w:val="0"/>
      <w:marTop w:val="0"/>
      <w:marBottom w:val="0"/>
      <w:divBdr>
        <w:top w:val="none" w:sz="0" w:space="0" w:color="auto"/>
        <w:left w:val="none" w:sz="0" w:space="0" w:color="auto"/>
        <w:bottom w:val="none" w:sz="0" w:space="0" w:color="auto"/>
        <w:right w:val="none" w:sz="0" w:space="0" w:color="auto"/>
      </w:divBdr>
    </w:div>
    <w:div w:id="1796678800">
      <w:bodyDiv w:val="1"/>
      <w:marLeft w:val="0"/>
      <w:marRight w:val="0"/>
      <w:marTop w:val="0"/>
      <w:marBottom w:val="0"/>
      <w:divBdr>
        <w:top w:val="none" w:sz="0" w:space="0" w:color="auto"/>
        <w:left w:val="none" w:sz="0" w:space="0" w:color="auto"/>
        <w:bottom w:val="none" w:sz="0" w:space="0" w:color="auto"/>
        <w:right w:val="none" w:sz="0" w:space="0" w:color="auto"/>
      </w:divBdr>
    </w:div>
    <w:div w:id="1806924130">
      <w:bodyDiv w:val="1"/>
      <w:marLeft w:val="0"/>
      <w:marRight w:val="0"/>
      <w:marTop w:val="0"/>
      <w:marBottom w:val="0"/>
      <w:divBdr>
        <w:top w:val="none" w:sz="0" w:space="0" w:color="auto"/>
        <w:left w:val="none" w:sz="0" w:space="0" w:color="auto"/>
        <w:bottom w:val="none" w:sz="0" w:space="0" w:color="auto"/>
        <w:right w:val="none" w:sz="0" w:space="0" w:color="auto"/>
      </w:divBdr>
    </w:div>
    <w:div w:id="1812164865">
      <w:bodyDiv w:val="1"/>
      <w:marLeft w:val="0"/>
      <w:marRight w:val="0"/>
      <w:marTop w:val="0"/>
      <w:marBottom w:val="0"/>
      <w:divBdr>
        <w:top w:val="none" w:sz="0" w:space="0" w:color="auto"/>
        <w:left w:val="none" w:sz="0" w:space="0" w:color="auto"/>
        <w:bottom w:val="none" w:sz="0" w:space="0" w:color="auto"/>
        <w:right w:val="none" w:sz="0" w:space="0" w:color="auto"/>
      </w:divBdr>
    </w:div>
    <w:div w:id="1829321146">
      <w:bodyDiv w:val="1"/>
      <w:marLeft w:val="0"/>
      <w:marRight w:val="0"/>
      <w:marTop w:val="0"/>
      <w:marBottom w:val="0"/>
      <w:divBdr>
        <w:top w:val="none" w:sz="0" w:space="0" w:color="auto"/>
        <w:left w:val="none" w:sz="0" w:space="0" w:color="auto"/>
        <w:bottom w:val="none" w:sz="0" w:space="0" w:color="auto"/>
        <w:right w:val="none" w:sz="0" w:space="0" w:color="auto"/>
      </w:divBdr>
    </w:div>
    <w:div w:id="1912351615">
      <w:bodyDiv w:val="1"/>
      <w:marLeft w:val="0"/>
      <w:marRight w:val="0"/>
      <w:marTop w:val="0"/>
      <w:marBottom w:val="0"/>
      <w:divBdr>
        <w:top w:val="none" w:sz="0" w:space="0" w:color="auto"/>
        <w:left w:val="none" w:sz="0" w:space="0" w:color="auto"/>
        <w:bottom w:val="none" w:sz="0" w:space="0" w:color="auto"/>
        <w:right w:val="none" w:sz="0" w:space="0" w:color="auto"/>
      </w:divBdr>
      <w:divsChild>
        <w:div w:id="1040981634">
          <w:marLeft w:val="0"/>
          <w:marRight w:val="0"/>
          <w:marTop w:val="0"/>
          <w:marBottom w:val="0"/>
          <w:divBdr>
            <w:top w:val="none" w:sz="0" w:space="0" w:color="auto"/>
            <w:left w:val="none" w:sz="0" w:space="0" w:color="auto"/>
            <w:bottom w:val="none" w:sz="0" w:space="0" w:color="auto"/>
            <w:right w:val="none" w:sz="0" w:space="0" w:color="auto"/>
          </w:divBdr>
        </w:div>
      </w:divsChild>
    </w:div>
    <w:div w:id="1950771910">
      <w:bodyDiv w:val="1"/>
      <w:marLeft w:val="0"/>
      <w:marRight w:val="0"/>
      <w:marTop w:val="0"/>
      <w:marBottom w:val="0"/>
      <w:divBdr>
        <w:top w:val="none" w:sz="0" w:space="0" w:color="auto"/>
        <w:left w:val="none" w:sz="0" w:space="0" w:color="auto"/>
        <w:bottom w:val="none" w:sz="0" w:space="0" w:color="auto"/>
        <w:right w:val="none" w:sz="0" w:space="0" w:color="auto"/>
      </w:divBdr>
    </w:div>
    <w:div w:id="1951204850">
      <w:bodyDiv w:val="1"/>
      <w:marLeft w:val="0"/>
      <w:marRight w:val="0"/>
      <w:marTop w:val="0"/>
      <w:marBottom w:val="0"/>
      <w:divBdr>
        <w:top w:val="none" w:sz="0" w:space="0" w:color="auto"/>
        <w:left w:val="none" w:sz="0" w:space="0" w:color="auto"/>
        <w:bottom w:val="none" w:sz="0" w:space="0" w:color="auto"/>
        <w:right w:val="none" w:sz="0" w:space="0" w:color="auto"/>
      </w:divBdr>
    </w:div>
    <w:div w:id="1952391431">
      <w:bodyDiv w:val="1"/>
      <w:marLeft w:val="0"/>
      <w:marRight w:val="0"/>
      <w:marTop w:val="0"/>
      <w:marBottom w:val="0"/>
      <w:divBdr>
        <w:top w:val="none" w:sz="0" w:space="0" w:color="auto"/>
        <w:left w:val="none" w:sz="0" w:space="0" w:color="auto"/>
        <w:bottom w:val="none" w:sz="0" w:space="0" w:color="auto"/>
        <w:right w:val="none" w:sz="0" w:space="0" w:color="auto"/>
      </w:divBdr>
    </w:div>
    <w:div w:id="1956860022">
      <w:bodyDiv w:val="1"/>
      <w:marLeft w:val="0"/>
      <w:marRight w:val="0"/>
      <w:marTop w:val="0"/>
      <w:marBottom w:val="0"/>
      <w:divBdr>
        <w:top w:val="none" w:sz="0" w:space="0" w:color="auto"/>
        <w:left w:val="none" w:sz="0" w:space="0" w:color="auto"/>
        <w:bottom w:val="none" w:sz="0" w:space="0" w:color="auto"/>
        <w:right w:val="none" w:sz="0" w:space="0" w:color="auto"/>
      </w:divBdr>
    </w:div>
    <w:div w:id="1962688247">
      <w:bodyDiv w:val="1"/>
      <w:marLeft w:val="0"/>
      <w:marRight w:val="0"/>
      <w:marTop w:val="0"/>
      <w:marBottom w:val="0"/>
      <w:divBdr>
        <w:top w:val="none" w:sz="0" w:space="0" w:color="auto"/>
        <w:left w:val="none" w:sz="0" w:space="0" w:color="auto"/>
        <w:bottom w:val="none" w:sz="0" w:space="0" w:color="auto"/>
        <w:right w:val="none" w:sz="0" w:space="0" w:color="auto"/>
      </w:divBdr>
      <w:divsChild>
        <w:div w:id="579103694">
          <w:marLeft w:val="0"/>
          <w:marRight w:val="0"/>
          <w:marTop w:val="0"/>
          <w:marBottom w:val="0"/>
          <w:divBdr>
            <w:top w:val="none" w:sz="0" w:space="0" w:color="auto"/>
            <w:left w:val="none" w:sz="0" w:space="0" w:color="auto"/>
            <w:bottom w:val="none" w:sz="0" w:space="0" w:color="auto"/>
            <w:right w:val="none" w:sz="0" w:space="0" w:color="auto"/>
          </w:divBdr>
        </w:div>
      </w:divsChild>
    </w:div>
    <w:div w:id="2020546589">
      <w:bodyDiv w:val="1"/>
      <w:marLeft w:val="0"/>
      <w:marRight w:val="0"/>
      <w:marTop w:val="0"/>
      <w:marBottom w:val="0"/>
      <w:divBdr>
        <w:top w:val="none" w:sz="0" w:space="0" w:color="auto"/>
        <w:left w:val="none" w:sz="0" w:space="0" w:color="auto"/>
        <w:bottom w:val="none" w:sz="0" w:space="0" w:color="auto"/>
        <w:right w:val="none" w:sz="0" w:space="0" w:color="auto"/>
      </w:divBdr>
      <w:divsChild>
        <w:div w:id="1298030301">
          <w:marLeft w:val="0"/>
          <w:marRight w:val="0"/>
          <w:marTop w:val="0"/>
          <w:marBottom w:val="0"/>
          <w:divBdr>
            <w:top w:val="none" w:sz="0" w:space="0" w:color="auto"/>
            <w:left w:val="none" w:sz="0" w:space="0" w:color="auto"/>
            <w:bottom w:val="none" w:sz="0" w:space="0" w:color="auto"/>
            <w:right w:val="none" w:sz="0" w:space="0" w:color="auto"/>
          </w:divBdr>
        </w:div>
      </w:divsChild>
    </w:div>
    <w:div w:id="2080976526">
      <w:bodyDiv w:val="1"/>
      <w:marLeft w:val="0"/>
      <w:marRight w:val="0"/>
      <w:marTop w:val="0"/>
      <w:marBottom w:val="0"/>
      <w:divBdr>
        <w:top w:val="none" w:sz="0" w:space="0" w:color="auto"/>
        <w:left w:val="none" w:sz="0" w:space="0" w:color="auto"/>
        <w:bottom w:val="none" w:sz="0" w:space="0" w:color="auto"/>
        <w:right w:val="none" w:sz="0" w:space="0" w:color="auto"/>
      </w:divBdr>
      <w:divsChild>
        <w:div w:id="1505776048">
          <w:marLeft w:val="0"/>
          <w:marRight w:val="0"/>
          <w:marTop w:val="0"/>
          <w:marBottom w:val="0"/>
          <w:divBdr>
            <w:top w:val="none" w:sz="0" w:space="0" w:color="auto"/>
            <w:left w:val="none" w:sz="0" w:space="0" w:color="auto"/>
            <w:bottom w:val="none" w:sz="0" w:space="0" w:color="auto"/>
            <w:right w:val="none" w:sz="0" w:space="0" w:color="auto"/>
          </w:divBdr>
        </w:div>
      </w:divsChild>
    </w:div>
    <w:div w:id="2133548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ationallawjournal.com/id=1202756391208/A-Potential-Gift-to-Politicians-from-the-Justices?slreturn=20161030181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350A-4DD3-7443-8FB4-12C4B214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2682</Words>
  <Characters>15291</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Hazelton</dc:creator>
  <cp:keywords/>
  <dc:description/>
  <cp:lastModifiedBy>Rachael Hinkle</cp:lastModifiedBy>
  <cp:revision>3</cp:revision>
  <cp:lastPrinted>2016-11-22T16:30:00Z</cp:lastPrinted>
  <dcterms:created xsi:type="dcterms:W3CDTF">2017-03-25T13:59:00Z</dcterms:created>
  <dcterms:modified xsi:type="dcterms:W3CDTF">2017-03-25T14:00:00Z</dcterms:modified>
</cp:coreProperties>
</file>