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81" w:rsidRPr="00624B31" w:rsidRDefault="00B90DEA" w:rsidP="006400FB">
      <w:pPr>
        <w:pStyle w:val="Heading10"/>
        <w:keepNext/>
        <w:keepLines/>
        <w:shd w:val="clear" w:color="auto" w:fill="auto"/>
        <w:spacing w:after="0" w:line="480" w:lineRule="auto"/>
        <w:ind w:right="20"/>
        <w:rPr>
          <w:rFonts w:ascii="Times New Roman" w:hAnsi="Times New Roman" w:cs="Times New Roman"/>
          <w:b/>
          <w:sz w:val="24"/>
          <w:szCs w:val="24"/>
        </w:rPr>
      </w:pPr>
      <w:bookmarkStart w:id="0" w:name="bookmark0"/>
      <w:r w:rsidRPr="00624B31">
        <w:rPr>
          <w:rFonts w:ascii="Times New Roman" w:hAnsi="Times New Roman" w:cs="Times New Roman"/>
          <w:b/>
          <w:sz w:val="24"/>
          <w:szCs w:val="24"/>
        </w:rPr>
        <w:t>Pan</w:t>
      </w:r>
      <w:r w:rsidR="003002A5" w:rsidRPr="00624B31">
        <w:rPr>
          <w:rFonts w:ascii="Times New Roman" w:hAnsi="Times New Roman" w:cs="Times New Roman"/>
          <w:b/>
          <w:sz w:val="24"/>
          <w:szCs w:val="24"/>
        </w:rPr>
        <w:t xml:space="preserve">el Effects and Opinion Crafting </w:t>
      </w:r>
      <w:r w:rsidRPr="00624B31">
        <w:rPr>
          <w:rFonts w:ascii="Times New Roman" w:hAnsi="Times New Roman" w:cs="Times New Roman"/>
          <w:b/>
          <w:sz w:val="24"/>
          <w:szCs w:val="24"/>
        </w:rPr>
        <w:t>in the U.S. Courts of Appeals</w:t>
      </w:r>
      <w:bookmarkEnd w:id="0"/>
      <w:r w:rsidR="00C4440D" w:rsidRPr="00624B31">
        <w:rPr>
          <w:rFonts w:ascii="Times New Roman" w:hAnsi="Times New Roman" w:cs="Times New Roman"/>
          <w:b/>
          <w:sz w:val="24"/>
          <w:szCs w:val="24"/>
        </w:rPr>
        <w:t>*</w:t>
      </w:r>
    </w:p>
    <w:p w:rsidR="003002A5" w:rsidRPr="00624B31" w:rsidRDefault="003002A5" w:rsidP="006400FB">
      <w:pPr>
        <w:pStyle w:val="Heading10"/>
        <w:keepNext/>
        <w:keepLines/>
        <w:shd w:val="clear" w:color="auto" w:fill="auto"/>
        <w:spacing w:after="0" w:line="480" w:lineRule="auto"/>
        <w:ind w:right="20"/>
        <w:rPr>
          <w:rFonts w:ascii="Times New Roman" w:hAnsi="Times New Roman" w:cs="Times New Roman"/>
          <w:sz w:val="24"/>
          <w:szCs w:val="24"/>
        </w:rPr>
      </w:pPr>
    </w:p>
    <w:p w:rsidR="003002A5" w:rsidRPr="00624B31" w:rsidRDefault="00B90DEA" w:rsidP="006400FB">
      <w:pPr>
        <w:pStyle w:val="Bodytext30"/>
        <w:shd w:val="clear" w:color="auto" w:fill="auto"/>
        <w:spacing w:before="0" w:after="0" w:line="480" w:lineRule="auto"/>
        <w:ind w:right="20"/>
        <w:rPr>
          <w:rFonts w:ascii="Times New Roman" w:hAnsi="Times New Roman" w:cs="Times New Roman"/>
          <w:sz w:val="24"/>
          <w:szCs w:val="24"/>
        </w:rPr>
      </w:pPr>
      <w:r w:rsidRPr="00624B31">
        <w:rPr>
          <w:rFonts w:ascii="Times New Roman" w:hAnsi="Times New Roman" w:cs="Times New Roman"/>
          <w:sz w:val="24"/>
          <w:szCs w:val="24"/>
        </w:rPr>
        <w:t>Rachael K. Hinkle</w:t>
      </w:r>
    </w:p>
    <w:p w:rsidR="003002A5" w:rsidRPr="00624B31" w:rsidRDefault="003002A5" w:rsidP="006400FB">
      <w:pPr>
        <w:pStyle w:val="Bodytext30"/>
        <w:shd w:val="clear" w:color="auto" w:fill="auto"/>
        <w:spacing w:before="0" w:after="0" w:line="480" w:lineRule="auto"/>
        <w:ind w:right="20"/>
        <w:rPr>
          <w:rFonts w:ascii="Times New Roman" w:hAnsi="Times New Roman" w:cs="Times New Roman"/>
          <w:sz w:val="24"/>
          <w:szCs w:val="24"/>
        </w:rPr>
      </w:pPr>
    </w:p>
    <w:p w:rsidR="003002A5" w:rsidRPr="00624B31" w:rsidRDefault="00B90DEA" w:rsidP="006400FB">
      <w:pPr>
        <w:pStyle w:val="Bodytext20"/>
        <w:shd w:val="clear" w:color="auto" w:fill="auto"/>
        <w:spacing w:before="0" w:line="480" w:lineRule="auto"/>
        <w:ind w:left="620" w:right="620" w:firstLine="326"/>
        <w:rPr>
          <w:rFonts w:ascii="Times New Roman" w:hAnsi="Times New Roman" w:cs="Times New Roman"/>
          <w:sz w:val="24"/>
          <w:szCs w:val="24"/>
        </w:rPr>
      </w:pPr>
      <w:r w:rsidRPr="00624B31">
        <w:rPr>
          <w:rFonts w:ascii="Times New Roman" w:hAnsi="Times New Roman" w:cs="Times New Roman"/>
          <w:sz w:val="24"/>
          <w:szCs w:val="24"/>
        </w:rPr>
        <w:t xml:space="preserve">Scholars have observed that federal circuit judges’ voting behavior can be influenced by even a single colleague on a three-judge panel. </w:t>
      </w:r>
      <w:r w:rsidR="003002A5" w:rsidRPr="006400FB">
        <w:rPr>
          <w:rFonts w:ascii="Times New Roman" w:hAnsi="Times New Roman" w:cs="Times New Roman"/>
          <w:sz w:val="24"/>
          <w:szCs w:val="24"/>
        </w:rPr>
        <w:t>I</w:t>
      </w:r>
      <w:r w:rsidRPr="00624B31">
        <w:rPr>
          <w:rFonts w:ascii="Times New Roman" w:hAnsi="Times New Roman" w:cs="Times New Roman"/>
          <w:sz w:val="24"/>
          <w:szCs w:val="24"/>
        </w:rPr>
        <w:t xml:space="preserve"> explore whether such forces extend beyond voting to impact how circuit judges use binding precedent to develop circuit law by examining whether the role of ideology is dampened when a judge writes for a panel that includes one or two colleagues from a different party. Using an original dataset of published search and seizure opinions from 1953 to </w:t>
      </w:r>
      <w:r w:rsidRPr="006400FB">
        <w:rPr>
          <w:rFonts w:ascii="Times New Roman" w:hAnsi="Times New Roman" w:cs="Times New Roman"/>
          <w:sz w:val="24"/>
          <w:szCs w:val="24"/>
        </w:rPr>
        <w:t>2010,</w:t>
      </w:r>
      <w:r w:rsidR="00DF19B8" w:rsidRPr="00624B31">
        <w:rPr>
          <w:rFonts w:ascii="Times New Roman" w:hAnsi="Times New Roman" w:cs="Times New Roman"/>
          <w:sz w:val="24"/>
          <w:szCs w:val="24"/>
          <w:shd w:val="clear" w:color="auto" w:fill="80FFFF"/>
        </w:rPr>
        <w:t xml:space="preserve"> </w:t>
      </w:r>
      <w:r w:rsidR="00DF19B8" w:rsidRPr="006400FB">
        <w:rPr>
          <w:rFonts w:ascii="Times New Roman" w:hAnsi="Times New Roman" w:cs="Times New Roman"/>
          <w:sz w:val="24"/>
          <w:szCs w:val="24"/>
        </w:rPr>
        <w:t>I</w:t>
      </w:r>
      <w:r w:rsidRPr="00624B31">
        <w:rPr>
          <w:rFonts w:ascii="Times New Roman" w:hAnsi="Times New Roman" w:cs="Times New Roman"/>
          <w:sz w:val="24"/>
          <w:szCs w:val="24"/>
        </w:rPr>
        <w:t xml:space="preserve"> uncover evidence that panel effects do extend beyond voting to influence opinion drafting as well.</w:t>
      </w:r>
    </w:p>
    <w:p w:rsidR="00C4440D" w:rsidRPr="00624B31" w:rsidRDefault="00C4440D" w:rsidP="006400FB">
      <w:pPr>
        <w:pStyle w:val="Bodytext20"/>
        <w:shd w:val="clear" w:color="auto" w:fill="auto"/>
        <w:spacing w:before="0" w:line="480" w:lineRule="auto"/>
        <w:ind w:right="620" w:firstLine="0"/>
        <w:rPr>
          <w:rFonts w:ascii="Times New Roman" w:hAnsi="Times New Roman" w:cs="Times New Roman"/>
          <w:sz w:val="24"/>
          <w:szCs w:val="24"/>
        </w:rPr>
      </w:pPr>
    </w:p>
    <w:p w:rsidR="00C4440D" w:rsidRPr="00624B31" w:rsidRDefault="00C4440D" w:rsidP="006400FB">
      <w:pPr>
        <w:pStyle w:val="Bodytext20"/>
        <w:shd w:val="clear" w:color="auto" w:fill="auto"/>
        <w:spacing w:before="0" w:line="480" w:lineRule="auto"/>
        <w:ind w:right="620" w:firstLine="0"/>
        <w:rPr>
          <w:rFonts w:ascii="Times New Roman" w:hAnsi="Times New Roman" w:cs="Times New Roman"/>
          <w:sz w:val="24"/>
          <w:szCs w:val="24"/>
        </w:rPr>
      </w:pPr>
    </w:p>
    <w:p w:rsidR="00C4440D" w:rsidRPr="00624B31" w:rsidRDefault="00C4440D" w:rsidP="006400FB">
      <w:pPr>
        <w:pStyle w:val="Bodytext20"/>
        <w:shd w:val="clear" w:color="auto" w:fill="auto"/>
        <w:spacing w:before="0" w:line="480" w:lineRule="auto"/>
        <w:ind w:right="620" w:firstLine="0"/>
        <w:rPr>
          <w:rFonts w:ascii="Times New Roman" w:hAnsi="Times New Roman" w:cs="Times New Roman"/>
          <w:sz w:val="24"/>
          <w:szCs w:val="24"/>
        </w:rPr>
      </w:pPr>
    </w:p>
    <w:p w:rsidR="00B15D5B" w:rsidRPr="00624B31" w:rsidRDefault="00B15D5B" w:rsidP="006400FB">
      <w:pPr>
        <w:pStyle w:val="Bodytext20"/>
        <w:shd w:val="clear" w:color="auto" w:fill="auto"/>
        <w:spacing w:before="0" w:line="480" w:lineRule="auto"/>
        <w:ind w:right="620" w:firstLine="0"/>
        <w:rPr>
          <w:rFonts w:ascii="Times New Roman" w:hAnsi="Times New Roman" w:cs="Times New Roman"/>
          <w:sz w:val="24"/>
          <w:szCs w:val="24"/>
        </w:rPr>
      </w:pPr>
    </w:p>
    <w:p w:rsidR="00C4440D" w:rsidRPr="00624B31" w:rsidRDefault="00C4440D" w:rsidP="006400FB">
      <w:pPr>
        <w:pStyle w:val="Bodytext20"/>
        <w:shd w:val="clear" w:color="auto" w:fill="auto"/>
        <w:spacing w:before="0" w:line="480" w:lineRule="auto"/>
        <w:ind w:right="620" w:firstLine="0"/>
        <w:rPr>
          <w:rFonts w:ascii="Times New Roman" w:hAnsi="Times New Roman" w:cs="Times New Roman"/>
          <w:sz w:val="24"/>
          <w:szCs w:val="24"/>
        </w:rPr>
      </w:pPr>
    </w:p>
    <w:p w:rsidR="00C4440D" w:rsidRPr="00624B31" w:rsidRDefault="00C4440D" w:rsidP="006400FB">
      <w:pPr>
        <w:pStyle w:val="Bodytext20"/>
        <w:shd w:val="clear" w:color="auto" w:fill="auto"/>
        <w:spacing w:before="0" w:line="480" w:lineRule="auto"/>
        <w:ind w:right="620" w:firstLine="0"/>
        <w:rPr>
          <w:rFonts w:ascii="Times New Roman" w:hAnsi="Times New Roman" w:cs="Times New Roman"/>
          <w:sz w:val="24"/>
          <w:szCs w:val="24"/>
        </w:rPr>
      </w:pPr>
    </w:p>
    <w:p w:rsidR="00C4440D" w:rsidRPr="00624B31" w:rsidRDefault="00C4440D" w:rsidP="006400FB">
      <w:pPr>
        <w:pStyle w:val="Bodytext20"/>
        <w:shd w:val="clear" w:color="auto" w:fill="auto"/>
        <w:spacing w:before="0" w:line="480" w:lineRule="auto"/>
        <w:ind w:right="620" w:firstLine="0"/>
        <w:rPr>
          <w:rFonts w:ascii="Times New Roman" w:hAnsi="Times New Roman" w:cs="Times New Roman"/>
          <w:sz w:val="24"/>
          <w:szCs w:val="24"/>
        </w:rPr>
      </w:pPr>
    </w:p>
    <w:p w:rsidR="00C4440D" w:rsidRPr="00624B31" w:rsidRDefault="00C4440D" w:rsidP="00DD04E3">
      <w:pPr>
        <w:pStyle w:val="Bodytext20"/>
        <w:shd w:val="clear" w:color="auto" w:fill="auto"/>
        <w:spacing w:before="0" w:line="480" w:lineRule="auto"/>
        <w:ind w:right="53" w:firstLine="384"/>
        <w:rPr>
          <w:rFonts w:ascii="Times New Roman" w:hAnsi="Times New Roman" w:cs="Times New Roman"/>
          <w:sz w:val="24"/>
          <w:szCs w:val="24"/>
        </w:rPr>
      </w:pPr>
      <w:r w:rsidRPr="00624B31">
        <w:rPr>
          <w:rFonts w:ascii="Times New Roman" w:hAnsi="Times New Roman" w:cs="Times New Roman"/>
        </w:rPr>
        <w:t xml:space="preserve">*Funded by the National Science Foundation (Law and Social Science, SES-1155066). I would like to thank Wendy </w:t>
      </w:r>
      <w:proofErr w:type="spellStart"/>
      <w:r w:rsidRPr="00624B31">
        <w:rPr>
          <w:rFonts w:ascii="Times New Roman" w:hAnsi="Times New Roman" w:cs="Times New Roman"/>
        </w:rPr>
        <w:t>Martinek</w:t>
      </w:r>
      <w:proofErr w:type="spellEnd"/>
      <w:r w:rsidRPr="00624B31">
        <w:rPr>
          <w:rFonts w:ascii="Times New Roman" w:hAnsi="Times New Roman" w:cs="Times New Roman"/>
        </w:rPr>
        <w:t xml:space="preserve"> for her helpful comments on an early version of this paper. Replication data and code are available at </w:t>
      </w:r>
      <w:r w:rsidRPr="00EC64D5">
        <w:rPr>
          <w:rFonts w:ascii="Times New Roman" w:hAnsi="Times New Roman" w:cs="Times New Roman"/>
        </w:rPr>
        <w:t>http://rachaelkhinkle.com/research.html</w:t>
      </w:r>
      <w:r w:rsidRPr="00624B31">
        <w:rPr>
          <w:rFonts w:ascii="Times New Roman" w:hAnsi="Times New Roman" w:cs="Times New Roman"/>
        </w:rPr>
        <w:t xml:space="preserve">. Please direct all correspondence to Rachael K. Hinkle, University at Buffalo, 520 Park Hall (North Campus), Buffalo, NY, 14260, </w:t>
      </w:r>
      <w:proofErr w:type="gramStart"/>
      <w:r w:rsidRPr="00624B31">
        <w:rPr>
          <w:rFonts w:ascii="Times New Roman" w:hAnsi="Times New Roman" w:cs="Times New Roman"/>
        </w:rPr>
        <w:t>rkhinkle</w:t>
      </w:r>
      <w:r w:rsidR="00B15D5B" w:rsidRPr="00624B31">
        <w:rPr>
          <w:rFonts w:ascii="Times New Roman" w:hAnsi="Times New Roman" w:cs="Times New Roman"/>
        </w:rPr>
        <w:t>@buffalo.edu</w:t>
      </w:r>
      <w:proofErr w:type="gramEnd"/>
      <w:r w:rsidRPr="00EC64D5">
        <w:rPr>
          <w:rFonts w:ascii="Times New Roman" w:hAnsi="Times New Roman" w:cs="Times New Roman"/>
        </w:rPr>
        <w:t>.</w:t>
      </w:r>
    </w:p>
    <w:p w:rsidR="0025374A" w:rsidRPr="00624B31" w:rsidRDefault="0025374A" w:rsidP="006400FB">
      <w:pPr>
        <w:spacing w:line="480" w:lineRule="auto"/>
        <w:rPr>
          <w:rFonts w:ascii="Times New Roman" w:eastAsia="AppleMyungjo" w:hAnsi="Times New Roman" w:cs="Times New Roman"/>
        </w:rPr>
        <w:sectPr w:rsidR="0025374A" w:rsidRPr="00624B31">
          <w:footerReference w:type="even" r:id="rId6"/>
          <w:footerReference w:type="first" r:id="rId7"/>
          <w:pgSz w:w="12240" w:h="15840"/>
          <w:pgMar w:top="1440" w:right="1440" w:bottom="1440" w:left="1440" w:header="0" w:footer="3" w:gutter="0"/>
          <w:pgNumType w:start="9"/>
          <w:noEndnote/>
          <w:docGrid w:linePitch="360"/>
        </w:sectPr>
      </w:pPr>
    </w:p>
    <w:p w:rsidR="00B73EFC" w:rsidRDefault="00B73EFC" w:rsidP="006400FB">
      <w:pPr>
        <w:pStyle w:val="Bodytext20"/>
        <w:shd w:val="clear" w:color="auto" w:fill="auto"/>
        <w:spacing w:before="0" w:line="480" w:lineRule="auto"/>
        <w:ind w:firstLine="384"/>
        <w:rPr>
          <w:rFonts w:ascii="Times New Roman" w:hAnsi="Times New Roman" w:cs="Times New Roman"/>
          <w:sz w:val="24"/>
          <w:szCs w:val="24"/>
        </w:rPr>
      </w:pP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400FB">
        <w:rPr>
          <w:rFonts w:ascii="Times New Roman" w:hAnsi="Times New Roman" w:cs="Times New Roman"/>
          <w:sz w:val="24"/>
          <w:szCs w:val="24"/>
        </w:rPr>
        <w:t xml:space="preserve">In recent years scholars have paid considerable attention to the way panel composition influences voting and outcomes in the U.S. Courts of Appeals. Substantial evidence supports the conclusion that circuit judges are influenced by both ideological (Cross and Tiller, 1998; </w:t>
      </w:r>
      <w:proofErr w:type="spellStart"/>
      <w:r w:rsidRPr="006400FB">
        <w:rPr>
          <w:rFonts w:ascii="Times New Roman" w:hAnsi="Times New Roman" w:cs="Times New Roman"/>
          <w:sz w:val="24"/>
          <w:szCs w:val="24"/>
        </w:rPr>
        <w:t>Revesz</w:t>
      </w:r>
      <w:proofErr w:type="spellEnd"/>
      <w:r w:rsidRPr="006400FB">
        <w:rPr>
          <w:rFonts w:ascii="Times New Roman" w:hAnsi="Times New Roman" w:cs="Times New Roman"/>
          <w:sz w:val="24"/>
          <w:szCs w:val="24"/>
        </w:rPr>
        <w:t xml:space="preserve">, 1997; </w:t>
      </w:r>
      <w:proofErr w:type="spellStart"/>
      <w:r w:rsidRPr="006400FB">
        <w:rPr>
          <w:rFonts w:ascii="Times New Roman" w:hAnsi="Times New Roman" w:cs="Times New Roman"/>
          <w:sz w:val="24"/>
          <w:szCs w:val="24"/>
        </w:rPr>
        <w:t>Sunstein</w:t>
      </w:r>
      <w:proofErr w:type="spellEnd"/>
      <w:r w:rsidRPr="006400FB">
        <w:rPr>
          <w:rFonts w:ascii="Times New Roman" w:hAnsi="Times New Roman" w:cs="Times New Roman"/>
          <w:sz w:val="24"/>
          <w:szCs w:val="24"/>
        </w:rPr>
        <w:t xml:space="preserve">, 2006) and personal characteristics (Boyd et al., 2010; </w:t>
      </w:r>
      <w:proofErr w:type="spellStart"/>
      <w:r w:rsidRPr="006400FB">
        <w:rPr>
          <w:rFonts w:ascii="Times New Roman" w:hAnsi="Times New Roman" w:cs="Times New Roman"/>
          <w:sz w:val="24"/>
          <w:szCs w:val="24"/>
        </w:rPr>
        <w:t>Farhang</w:t>
      </w:r>
      <w:proofErr w:type="spellEnd"/>
      <w:r w:rsidRPr="006400FB">
        <w:rPr>
          <w:rFonts w:ascii="Times New Roman" w:hAnsi="Times New Roman" w:cs="Times New Roman"/>
          <w:sz w:val="24"/>
          <w:szCs w:val="24"/>
        </w:rPr>
        <w:t xml:space="preserve"> and </w:t>
      </w:r>
      <w:proofErr w:type="spellStart"/>
      <w:r w:rsidRPr="006400FB">
        <w:rPr>
          <w:rFonts w:ascii="Times New Roman" w:hAnsi="Times New Roman" w:cs="Times New Roman"/>
          <w:sz w:val="24"/>
          <w:szCs w:val="24"/>
        </w:rPr>
        <w:t>Wawro</w:t>
      </w:r>
      <w:proofErr w:type="spellEnd"/>
      <w:r w:rsidRPr="006400FB">
        <w:rPr>
          <w:rFonts w:ascii="Times New Roman" w:hAnsi="Times New Roman" w:cs="Times New Roman"/>
          <w:sz w:val="24"/>
          <w:szCs w:val="24"/>
        </w:rPr>
        <w:t xml:space="preserve">, 2004; </w:t>
      </w:r>
      <w:proofErr w:type="spellStart"/>
      <w:r w:rsidRPr="006400FB">
        <w:rPr>
          <w:rFonts w:ascii="Times New Roman" w:hAnsi="Times New Roman" w:cs="Times New Roman"/>
          <w:sz w:val="24"/>
          <w:szCs w:val="24"/>
        </w:rPr>
        <w:t>Kastellec</w:t>
      </w:r>
      <w:proofErr w:type="spellEnd"/>
      <w:r w:rsidRPr="006400FB">
        <w:rPr>
          <w:rFonts w:ascii="Times New Roman" w:hAnsi="Times New Roman" w:cs="Times New Roman"/>
          <w:sz w:val="24"/>
          <w:szCs w:val="24"/>
        </w:rPr>
        <w:t>, 2013) of their fellow panel members, a phenomenon known as panel effects. To date, this line of research has focused primarily on binary votes regarding who wins and loses a case. However, once a panel has agreed on a case outcome there is still important work left to be done. One judge is assigned to write the opinion explaining that result (Bowie et al., 2014) and, if published, that opinion will become binding law within the circuit (Lee III, 2003). How the author crafts a published opinion plays a key role in developing the law of the circuit (</w:t>
      </w:r>
      <w:proofErr w:type="spellStart"/>
      <w:r w:rsidRPr="006400FB">
        <w:rPr>
          <w:rFonts w:ascii="Times New Roman" w:hAnsi="Times New Roman" w:cs="Times New Roman"/>
          <w:sz w:val="24"/>
          <w:szCs w:val="24"/>
        </w:rPr>
        <w:t>Haire</w:t>
      </w:r>
      <w:proofErr w:type="spellEnd"/>
      <w:r w:rsidRPr="006400FB">
        <w:rPr>
          <w:rFonts w:ascii="Times New Roman" w:hAnsi="Times New Roman" w:cs="Times New Roman"/>
          <w:sz w:val="24"/>
          <w:szCs w:val="24"/>
        </w:rPr>
        <w:t xml:space="preserve"> et al., 2013; Hume, 2009). The dynamic nature of law is such that the meaning of each precedent ebbs and flows based on how it is used over time. Each new opinion provides the opportunity to continue shaping the law of the circuit by molding the way past circuit opinions are used. Since the author plays the central role in selecting which circuit precedents to discuss and how, she potentially wields disproportionate influence. This article investigates whether, and to what extent, the author’s influence over such decisions is tem</w:t>
      </w:r>
      <w:r w:rsidRPr="00624B31">
        <w:rPr>
          <w:rFonts w:ascii="Times New Roman" w:hAnsi="Times New Roman" w:cs="Times New Roman"/>
          <w:sz w:val="24"/>
          <w:szCs w:val="24"/>
        </w:rPr>
        <w:t>pered by the need to craft each opinion with one’s colleagues’ preferences in mind.</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Ideological panel effects on case outcomes manifest as different rates of conservative (or liberal) rulings from split panels and unified panels dominated by the same party. </w:t>
      </w:r>
      <w:r w:rsidRPr="006400FB">
        <w:rPr>
          <w:rFonts w:ascii="Times New Roman" w:hAnsi="Times New Roman" w:cs="Times New Roman"/>
          <w:sz w:val="24"/>
          <w:szCs w:val="24"/>
        </w:rPr>
        <w:t xml:space="preserve">I extend this analytical framework to further distinguish between split panel opinions authored by a member of the panel majority and those authored by what </w:t>
      </w:r>
      <w:proofErr w:type="spellStart"/>
      <w:r w:rsidRPr="006400FB">
        <w:rPr>
          <w:rFonts w:ascii="Times New Roman" w:hAnsi="Times New Roman" w:cs="Times New Roman"/>
          <w:sz w:val="24"/>
          <w:szCs w:val="24"/>
        </w:rPr>
        <w:t>Kastellec</w:t>
      </w:r>
      <w:proofErr w:type="spellEnd"/>
      <w:r w:rsidRPr="006400FB">
        <w:rPr>
          <w:rFonts w:ascii="Times New Roman" w:hAnsi="Times New Roman" w:cs="Times New Roman"/>
          <w:sz w:val="24"/>
          <w:szCs w:val="24"/>
        </w:rPr>
        <w:t xml:space="preserve"> (2011) dubs a “counterjudge”,</w:t>
      </w:r>
      <w:r w:rsidRPr="00624B31">
        <w:rPr>
          <w:rFonts w:ascii="Times New Roman" w:hAnsi="Times New Roman" w:cs="Times New Roman"/>
          <w:sz w:val="24"/>
          <w:szCs w:val="24"/>
        </w:rPr>
        <w:t xml:space="preserve"> a judge who is the lone member of his party siting on a </w:t>
      </w:r>
      <w:r w:rsidRPr="006400FB">
        <w:rPr>
          <w:rFonts w:ascii="Times New Roman" w:hAnsi="Times New Roman" w:cs="Times New Roman"/>
          <w:sz w:val="24"/>
          <w:szCs w:val="24"/>
        </w:rPr>
        <w:t>panel.</w:t>
      </w:r>
      <w:r w:rsidR="00C4440D" w:rsidRPr="006400FB">
        <w:rPr>
          <w:rStyle w:val="FootnoteReference"/>
          <w:rFonts w:ascii="Times New Roman" w:hAnsi="Times New Roman" w:cs="Times New Roman"/>
          <w:sz w:val="24"/>
          <w:szCs w:val="24"/>
        </w:rPr>
        <w:footnoteReference w:id="1"/>
      </w:r>
      <w:r w:rsidR="00C4440D" w:rsidRPr="006400FB">
        <w:rPr>
          <w:rFonts w:ascii="Times New Roman" w:hAnsi="Times New Roman" w:cs="Times New Roman"/>
          <w:sz w:val="24"/>
          <w:szCs w:val="24"/>
        </w:rPr>
        <w:t xml:space="preserve"> </w:t>
      </w:r>
      <w:r w:rsidRPr="006400FB">
        <w:rPr>
          <w:rFonts w:ascii="Times New Roman" w:hAnsi="Times New Roman" w:cs="Times New Roman"/>
          <w:sz w:val="24"/>
          <w:szCs w:val="24"/>
        </w:rPr>
        <w:t>Panel effects influence opinion crafting to the extent that an author’s own ideology has a different</w:t>
      </w:r>
      <w:r w:rsidR="009613F5" w:rsidRPr="006400FB">
        <w:rPr>
          <w:rFonts w:ascii="Times New Roman" w:hAnsi="Times New Roman" w:cs="Times New Roman"/>
          <w:sz w:val="24"/>
          <w:szCs w:val="24"/>
        </w:rPr>
        <w:t xml:space="preserve"> </w:t>
      </w:r>
      <w:r w:rsidRPr="006400FB">
        <w:rPr>
          <w:rFonts w:ascii="Times New Roman" w:hAnsi="Times New Roman" w:cs="Times New Roman"/>
          <w:sz w:val="24"/>
          <w:szCs w:val="24"/>
        </w:rPr>
        <w:t>impact on opinion content conditional upon whether the relevant panel is unified, split bu</w:t>
      </w:r>
      <w:r w:rsidRPr="00624B31">
        <w:rPr>
          <w:rFonts w:ascii="Times New Roman" w:hAnsi="Times New Roman" w:cs="Times New Roman"/>
          <w:sz w:val="24"/>
          <w:szCs w:val="24"/>
        </w:rPr>
        <w:t xml:space="preserve">t dominated by the </w:t>
      </w:r>
      <w:r w:rsidR="00C4440D" w:rsidRPr="00624B31">
        <w:rPr>
          <w:rFonts w:ascii="Times New Roman" w:hAnsi="Times New Roman" w:cs="Times New Roman"/>
          <w:sz w:val="24"/>
          <w:szCs w:val="24"/>
        </w:rPr>
        <w:t>author’s party, or split and</w:t>
      </w:r>
      <w:r w:rsidRPr="00624B31">
        <w:rPr>
          <w:rFonts w:ascii="Times New Roman" w:hAnsi="Times New Roman" w:cs="Times New Roman"/>
          <w:sz w:val="24"/>
          <w:szCs w:val="24"/>
        </w:rPr>
        <w:t xml:space="preserve"> the author is the counterjudge. Authors should have the greatest leeway to draft their ideologically-preferred opinion when sitting on a panel with two ideological allies and the least leeway when the panel includes no such allies.</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The core of a judicial opinion is using analogical reasoning to compare case facts to previous precedents. The myriad micro-decisions an author makes about which precedents to cite, and how, combine to influence the continual development of law. On the one hand, citing a precedent as relevant lends it </w:t>
      </w:r>
      <w:r w:rsidRPr="006400FB">
        <w:rPr>
          <w:rFonts w:ascii="Times New Roman" w:hAnsi="Times New Roman" w:cs="Times New Roman"/>
          <w:sz w:val="24"/>
          <w:szCs w:val="24"/>
        </w:rPr>
        <w:t>continuing efficacy and potentially expands it to apply to a wider set of facts in the future (Hume, 2009). On the other hand, negatively treating a precedent by explicitly stating that it does not apply to the facts at hand narrows the future application of that precedent.</w:t>
      </w:r>
      <w:r w:rsidR="009613F5" w:rsidRPr="006400FB">
        <w:rPr>
          <w:rStyle w:val="FootnoteReference"/>
          <w:rFonts w:ascii="Times New Roman" w:hAnsi="Times New Roman" w:cs="Times New Roman"/>
          <w:sz w:val="24"/>
          <w:szCs w:val="24"/>
        </w:rPr>
        <w:footnoteReference w:id="2"/>
      </w:r>
      <w:r w:rsidRPr="006400FB">
        <w:rPr>
          <w:rFonts w:ascii="Times New Roman" w:hAnsi="Times New Roman" w:cs="Times New Roman"/>
          <w:sz w:val="24"/>
          <w:szCs w:val="24"/>
        </w:rPr>
        <w:t xml:space="preserve"> The ever-increasing number of precedents</w:t>
      </w:r>
      <w:r w:rsidRPr="00624B31">
        <w:rPr>
          <w:rFonts w:ascii="Times New Roman" w:hAnsi="Times New Roman" w:cs="Times New Roman"/>
          <w:sz w:val="24"/>
          <w:szCs w:val="24"/>
        </w:rPr>
        <w:t xml:space="preserve"> from which to choose suggests the possibility that a judge may make decisions about precedent based on ideological preferences in addition to legal considerations. Research demonstrates that ideology does play a role in such decisions (Choi and Gulati, 2007; Hansford and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2006; Hinkle, 2015; Hume, 2009; </w:t>
      </w:r>
      <w:proofErr w:type="spellStart"/>
      <w:r w:rsidRPr="00624B31">
        <w:rPr>
          <w:rFonts w:ascii="Times New Roman" w:hAnsi="Times New Roman" w:cs="Times New Roman"/>
          <w:sz w:val="24"/>
          <w:szCs w:val="24"/>
        </w:rPr>
        <w:t>Niblett</w:t>
      </w:r>
      <w:proofErr w:type="spellEnd"/>
      <w:r w:rsidRPr="00624B31">
        <w:rPr>
          <w:rFonts w:ascii="Times New Roman" w:hAnsi="Times New Roman" w:cs="Times New Roman"/>
          <w:sz w:val="24"/>
          <w:szCs w:val="24"/>
        </w:rPr>
        <w:t xml:space="preserve"> and Yoon, 2015;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and Hansford, 2002). Since panel effects dampen ideological voting, they may well dampen ideological development of circuit law as well. Exploring whether panel effects extend to opinion crafting both sheds light on the important question of author influence and provides insight into the complex relationship between panel effects and the development of legal doctrine.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Much of the existing theory regarding panel effects has been developed without addressing the role of legal doctrine (</w:t>
      </w:r>
      <w:r w:rsidRPr="00DD04E3">
        <w:rPr>
          <w:rFonts w:ascii="Times New Roman" w:hAnsi="Times New Roman" w:cs="Times New Roman"/>
          <w:sz w:val="24"/>
          <w:szCs w:val="24"/>
        </w:rPr>
        <w:t>Tiller, 2015). My empirical approach directly integrates the importance of law by focusing on the choices authors make concerning which binding circuit precedents to treat negatively (e.g., distinguish or criticize), which to cite, and which to disregard completely. Specifically, I look for evidence of whether panel composition influences</w:t>
      </w:r>
      <w:r w:rsidR="002625D9" w:rsidRPr="00DD04E3">
        <w:rPr>
          <w:rFonts w:ascii="Times New Roman" w:hAnsi="Times New Roman" w:cs="Times New Roman"/>
          <w:sz w:val="24"/>
          <w:szCs w:val="24"/>
        </w:rPr>
        <w:t xml:space="preserve"> </w:t>
      </w:r>
      <w:r w:rsidRPr="00DD04E3">
        <w:rPr>
          <w:rFonts w:ascii="Times New Roman" w:hAnsi="Times New Roman" w:cs="Times New Roman"/>
          <w:sz w:val="24"/>
          <w:szCs w:val="24"/>
        </w:rPr>
        <w:t>how authors make the key decisions that ultimately play a central role in shaping circuit law. Are authors guided by their own ideology to a different extent when one or both of their panel colleagues are from the opposite party? Are authors more deferential to precedents written by their panel colleagues? Using an original dataset of search and seizure cases from 1953 to 2010, I provide evidence both that panel effects influence the use of precedent and that such decisions have a material impact</w:t>
      </w:r>
      <w:r w:rsidRPr="00624B31">
        <w:rPr>
          <w:rFonts w:ascii="Times New Roman" w:hAnsi="Times New Roman" w:cs="Times New Roman"/>
          <w:sz w:val="24"/>
          <w:szCs w:val="24"/>
        </w:rPr>
        <w:t xml:space="preserve"> on how circuit law develops.</w:t>
      </w:r>
    </w:p>
    <w:p w:rsidR="000C1EC5" w:rsidRPr="00624B31" w:rsidRDefault="000C1EC5" w:rsidP="006400FB">
      <w:pPr>
        <w:pStyle w:val="Bodytext20"/>
        <w:shd w:val="clear" w:color="auto" w:fill="auto"/>
        <w:spacing w:before="0" w:line="480" w:lineRule="auto"/>
        <w:ind w:firstLine="384"/>
        <w:rPr>
          <w:rFonts w:ascii="Times New Roman" w:hAnsi="Times New Roman" w:cs="Times New Roman"/>
          <w:sz w:val="24"/>
          <w:szCs w:val="24"/>
        </w:rPr>
      </w:pPr>
    </w:p>
    <w:p w:rsidR="00C95181" w:rsidRPr="00624B31" w:rsidRDefault="00B90DEA" w:rsidP="006400FB">
      <w:pPr>
        <w:pStyle w:val="Heading20"/>
        <w:keepNext/>
        <w:keepLines/>
        <w:shd w:val="clear" w:color="auto" w:fill="auto"/>
        <w:spacing w:before="0" w:after="0" w:line="480" w:lineRule="auto"/>
        <w:ind w:firstLine="46"/>
        <w:rPr>
          <w:rFonts w:ascii="Times New Roman" w:hAnsi="Times New Roman" w:cs="Times New Roman"/>
          <w:b/>
          <w:sz w:val="24"/>
          <w:szCs w:val="24"/>
        </w:rPr>
      </w:pPr>
      <w:bookmarkStart w:id="1" w:name="bookmark1"/>
      <w:r w:rsidRPr="00624B31">
        <w:rPr>
          <w:rFonts w:ascii="Times New Roman" w:hAnsi="Times New Roman" w:cs="Times New Roman"/>
          <w:b/>
          <w:sz w:val="24"/>
          <w:szCs w:val="24"/>
        </w:rPr>
        <w:t>Panel Effects and Precedent</w:t>
      </w:r>
      <w:bookmarkEnd w:id="1"/>
    </w:p>
    <w:p w:rsidR="00C95181" w:rsidRPr="00624B31" w:rsidRDefault="00B90DEA" w:rsidP="006400FB">
      <w:pPr>
        <w:pStyle w:val="Bodytext20"/>
        <w:shd w:val="clear" w:color="auto" w:fill="auto"/>
        <w:spacing w:before="0" w:line="480" w:lineRule="auto"/>
        <w:ind w:firstLine="398"/>
        <w:rPr>
          <w:rFonts w:ascii="Times New Roman" w:hAnsi="Times New Roman" w:cs="Times New Roman"/>
          <w:sz w:val="24"/>
          <w:szCs w:val="24"/>
        </w:rPr>
      </w:pPr>
      <w:r w:rsidRPr="00624B31">
        <w:rPr>
          <w:rFonts w:ascii="Times New Roman" w:hAnsi="Times New Roman" w:cs="Times New Roman"/>
          <w:sz w:val="24"/>
          <w:szCs w:val="24"/>
        </w:rPr>
        <w:t xml:space="preserve">The vast majority of circuit law is established by three-judge panels. Panel assignments rotate on a regular basis resulting in each judge working with various combinations of his circuit colleagues. Sometimes a judge will sit with two like-minded colleagues, while other cases have to be resolved working with colleagues who have quite different ideological preferences. This institutional feature creates interesting variation in the output from different panel configurations. Most prominent is the robust finding in the literature that even a single judge can have an impact on case </w:t>
      </w:r>
      <w:r w:rsidRPr="00DD04E3">
        <w:rPr>
          <w:rFonts w:ascii="Times New Roman" w:hAnsi="Times New Roman" w:cs="Times New Roman"/>
          <w:sz w:val="24"/>
          <w:szCs w:val="24"/>
        </w:rPr>
        <w:t xml:space="preserve">outcomes </w:t>
      </w:r>
      <w:r w:rsidRPr="00DD04E3">
        <w:rPr>
          <w:rStyle w:val="Bodytext2Italic"/>
          <w:rFonts w:ascii="Times New Roman" w:hAnsi="Times New Roman" w:cs="Times New Roman"/>
          <w:i w:val="0"/>
          <w:sz w:val="24"/>
          <w:szCs w:val="24"/>
        </w:rPr>
        <w:t>(</w:t>
      </w:r>
      <w:r w:rsidRPr="00DD04E3">
        <w:rPr>
          <w:rStyle w:val="Bodytext2Italic"/>
          <w:rFonts w:ascii="Times New Roman" w:hAnsi="Times New Roman" w:cs="Times New Roman"/>
          <w:sz w:val="24"/>
          <w:szCs w:val="24"/>
        </w:rPr>
        <w:t>see, e.g.,</w:t>
      </w:r>
      <w:r w:rsidRPr="00DD04E3">
        <w:rPr>
          <w:rFonts w:ascii="Times New Roman" w:hAnsi="Times New Roman" w:cs="Times New Roman"/>
          <w:sz w:val="24"/>
          <w:szCs w:val="24"/>
        </w:rPr>
        <w:t xml:space="preserve"> </w:t>
      </w:r>
      <w:proofErr w:type="spellStart"/>
      <w:r w:rsidRPr="00DD04E3">
        <w:rPr>
          <w:rFonts w:ascii="Times New Roman" w:hAnsi="Times New Roman" w:cs="Times New Roman"/>
          <w:sz w:val="24"/>
          <w:szCs w:val="24"/>
        </w:rPr>
        <w:t>Beim</w:t>
      </w:r>
      <w:proofErr w:type="spellEnd"/>
      <w:r w:rsidRPr="00DD04E3">
        <w:rPr>
          <w:rFonts w:ascii="Times New Roman" w:hAnsi="Times New Roman" w:cs="Times New Roman"/>
          <w:sz w:val="24"/>
          <w:szCs w:val="24"/>
        </w:rPr>
        <w:t xml:space="preserve"> et al., 2016; Boyd et al., 2010; Cross and Tiller, 1998; </w:t>
      </w:r>
      <w:proofErr w:type="spellStart"/>
      <w:r w:rsidRPr="00DD04E3">
        <w:rPr>
          <w:rFonts w:ascii="Times New Roman" w:hAnsi="Times New Roman" w:cs="Times New Roman"/>
          <w:sz w:val="24"/>
          <w:szCs w:val="24"/>
        </w:rPr>
        <w:t>Kastellec</w:t>
      </w:r>
      <w:proofErr w:type="spellEnd"/>
      <w:r w:rsidRPr="00DD04E3">
        <w:rPr>
          <w:rFonts w:ascii="Times New Roman" w:hAnsi="Times New Roman" w:cs="Times New Roman"/>
          <w:sz w:val="24"/>
          <w:szCs w:val="24"/>
        </w:rPr>
        <w:t xml:space="preserve">, 2013; </w:t>
      </w:r>
      <w:proofErr w:type="spellStart"/>
      <w:r w:rsidRPr="00DD04E3">
        <w:rPr>
          <w:rFonts w:ascii="Times New Roman" w:hAnsi="Times New Roman" w:cs="Times New Roman"/>
          <w:sz w:val="24"/>
          <w:szCs w:val="24"/>
        </w:rPr>
        <w:t>Sunstein</w:t>
      </w:r>
      <w:proofErr w:type="spellEnd"/>
      <w:r w:rsidRPr="00DD04E3">
        <w:rPr>
          <w:rFonts w:ascii="Times New Roman" w:hAnsi="Times New Roman" w:cs="Times New Roman"/>
          <w:sz w:val="24"/>
          <w:szCs w:val="24"/>
        </w:rPr>
        <w:t>, 2006). Panels resolve cases by majority rule, yet empirical results consistently reveal patterns at odds with what the median voter theorem would predict (</w:t>
      </w:r>
      <w:proofErr w:type="spellStart"/>
      <w:r w:rsidRPr="00DD04E3">
        <w:rPr>
          <w:rFonts w:ascii="Times New Roman" w:hAnsi="Times New Roman" w:cs="Times New Roman"/>
          <w:sz w:val="24"/>
          <w:szCs w:val="24"/>
        </w:rPr>
        <w:t>Kastellec</w:t>
      </w:r>
      <w:proofErr w:type="spellEnd"/>
      <w:r w:rsidRPr="00DD04E3">
        <w:rPr>
          <w:rFonts w:ascii="Times New Roman" w:hAnsi="Times New Roman" w:cs="Times New Roman"/>
          <w:sz w:val="24"/>
          <w:szCs w:val="24"/>
        </w:rPr>
        <w:t>, 2007). The primary explanations for these findings are strategic dissent avoidance to circumvent external review (</w:t>
      </w:r>
      <w:proofErr w:type="spellStart"/>
      <w:r w:rsidRPr="00DD04E3">
        <w:rPr>
          <w:rFonts w:ascii="Times New Roman" w:hAnsi="Times New Roman" w:cs="Times New Roman"/>
          <w:sz w:val="24"/>
          <w:szCs w:val="24"/>
        </w:rPr>
        <w:t>Beim</w:t>
      </w:r>
      <w:proofErr w:type="spellEnd"/>
      <w:r w:rsidRPr="00DD04E3">
        <w:rPr>
          <w:rFonts w:ascii="Times New Roman" w:hAnsi="Times New Roman" w:cs="Times New Roman"/>
          <w:sz w:val="24"/>
          <w:szCs w:val="24"/>
        </w:rPr>
        <w:t xml:space="preserve"> et al., 2016; Cross and Tiller, 1998; </w:t>
      </w:r>
      <w:proofErr w:type="spellStart"/>
      <w:r w:rsidRPr="00DD04E3">
        <w:rPr>
          <w:rFonts w:ascii="Times New Roman" w:hAnsi="Times New Roman" w:cs="Times New Roman"/>
          <w:sz w:val="24"/>
          <w:szCs w:val="24"/>
        </w:rPr>
        <w:t>Kastellec</w:t>
      </w:r>
      <w:proofErr w:type="spellEnd"/>
      <w:r w:rsidRPr="00DD04E3">
        <w:rPr>
          <w:rFonts w:ascii="Times New Roman" w:hAnsi="Times New Roman" w:cs="Times New Roman"/>
          <w:sz w:val="24"/>
          <w:szCs w:val="24"/>
        </w:rPr>
        <w:t xml:space="preserve">, 2011); strategic dissent avoidance to reduce workload and comply with a norm of consensus (Epstein et al., 2011; </w:t>
      </w:r>
      <w:proofErr w:type="spellStart"/>
      <w:r w:rsidRPr="00DD04E3">
        <w:rPr>
          <w:rFonts w:ascii="Times New Roman" w:hAnsi="Times New Roman" w:cs="Times New Roman"/>
          <w:sz w:val="24"/>
          <w:szCs w:val="24"/>
        </w:rPr>
        <w:t>Fischman</w:t>
      </w:r>
      <w:proofErr w:type="spellEnd"/>
      <w:r w:rsidRPr="00DD04E3">
        <w:rPr>
          <w:rFonts w:ascii="Times New Roman" w:hAnsi="Times New Roman" w:cs="Times New Roman"/>
          <w:sz w:val="24"/>
          <w:szCs w:val="24"/>
        </w:rPr>
        <w:t>, 2015; Posner, 2008), and internal</w:t>
      </w:r>
      <w:r w:rsidRPr="00624B31">
        <w:rPr>
          <w:rFonts w:ascii="Times New Roman" w:hAnsi="Times New Roman" w:cs="Times New Roman"/>
          <w:sz w:val="24"/>
          <w:szCs w:val="24"/>
        </w:rPr>
        <w:t xml:space="preserve"> deliberation leading to incorporation of a broader range of information (Kim, 2009; Spitzer and Talley, 2013).</w:t>
      </w:r>
    </w:p>
    <w:p w:rsidR="00C95181" w:rsidRPr="00624B31" w:rsidRDefault="00B90DEA" w:rsidP="006400FB">
      <w:pPr>
        <w:pStyle w:val="Bodytext20"/>
        <w:shd w:val="clear" w:color="auto" w:fill="auto"/>
        <w:spacing w:before="0" w:line="480" w:lineRule="auto"/>
        <w:ind w:firstLine="398"/>
        <w:rPr>
          <w:rFonts w:ascii="Times New Roman" w:hAnsi="Times New Roman" w:cs="Times New Roman"/>
          <w:sz w:val="24"/>
          <w:szCs w:val="24"/>
        </w:rPr>
      </w:pPr>
      <w:r w:rsidRPr="00DD04E3">
        <w:rPr>
          <w:rFonts w:ascii="Times New Roman" w:hAnsi="Times New Roman" w:cs="Times New Roman"/>
          <w:sz w:val="24"/>
          <w:szCs w:val="24"/>
        </w:rPr>
        <w:t xml:space="preserve">Although the bulk of the literature on panel effects focuses on cases outcomes, there is some work that sheds </w:t>
      </w:r>
      <w:r w:rsidR="002625D9" w:rsidRPr="00DD04E3">
        <w:rPr>
          <w:rFonts w:ascii="Times New Roman" w:hAnsi="Times New Roman" w:cs="Times New Roman"/>
          <w:sz w:val="24"/>
          <w:szCs w:val="24"/>
        </w:rPr>
        <w:t>li</w:t>
      </w:r>
      <w:r w:rsidRPr="00DD04E3">
        <w:rPr>
          <w:rFonts w:ascii="Times New Roman" w:hAnsi="Times New Roman" w:cs="Times New Roman"/>
          <w:sz w:val="24"/>
          <w:szCs w:val="24"/>
        </w:rPr>
        <w:t>ght on the impact panel configuration has on aspects of the opinion</w:t>
      </w:r>
      <w:r w:rsidR="002625D9" w:rsidRPr="00DD04E3">
        <w:rPr>
          <w:rFonts w:ascii="Times New Roman" w:hAnsi="Times New Roman" w:cs="Times New Roman"/>
          <w:sz w:val="24"/>
          <w:szCs w:val="24"/>
        </w:rPr>
        <w:t>-</w:t>
      </w:r>
      <w:r w:rsidRPr="00DD04E3">
        <w:rPr>
          <w:rFonts w:ascii="Times New Roman" w:hAnsi="Times New Roman" w:cs="Times New Roman"/>
          <w:sz w:val="24"/>
          <w:szCs w:val="24"/>
        </w:rPr>
        <w:t xml:space="preserve">drafting process. </w:t>
      </w:r>
      <w:proofErr w:type="spellStart"/>
      <w:r w:rsidRPr="00DD04E3">
        <w:rPr>
          <w:rFonts w:ascii="Times New Roman" w:hAnsi="Times New Roman" w:cs="Times New Roman"/>
          <w:sz w:val="24"/>
          <w:szCs w:val="24"/>
        </w:rPr>
        <w:t>Haire</w:t>
      </w:r>
      <w:proofErr w:type="spellEnd"/>
      <w:r w:rsidRPr="00DD04E3">
        <w:rPr>
          <w:rFonts w:ascii="Times New Roman" w:hAnsi="Times New Roman" w:cs="Times New Roman"/>
          <w:sz w:val="24"/>
          <w:szCs w:val="24"/>
        </w:rPr>
        <w:t>, et. al. (2013) demonstrate that the presence of women and racial</w:t>
      </w:r>
      <w:r w:rsidR="002625D9" w:rsidRPr="00DD04E3">
        <w:rPr>
          <w:rFonts w:ascii="Times New Roman" w:hAnsi="Times New Roman" w:cs="Times New Roman"/>
          <w:sz w:val="24"/>
          <w:szCs w:val="24"/>
        </w:rPr>
        <w:t xml:space="preserve"> </w:t>
      </w:r>
      <w:r w:rsidRPr="00DD04E3">
        <w:rPr>
          <w:rFonts w:ascii="Times New Roman" w:hAnsi="Times New Roman" w:cs="Times New Roman"/>
          <w:sz w:val="24"/>
          <w:szCs w:val="24"/>
        </w:rPr>
        <w:t>minorities on a panel can increase the number of legal issues discussed in the final opinion, although a panel majority is necessary to generate a significant effect. There is also empirical evidence that panels with members who have more divergent ideological preferences take longer to produce a final opinion (Bowie et al., 2014: 110). Such delay suggests that increased ideological diversity leads to increased negotiation over opinion</w:t>
      </w:r>
      <w:r w:rsidRPr="00624B31">
        <w:rPr>
          <w:rFonts w:ascii="Times New Roman" w:hAnsi="Times New Roman" w:cs="Times New Roman"/>
          <w:sz w:val="24"/>
          <w:szCs w:val="24"/>
        </w:rPr>
        <w:t xml:space="preserve"> content. These studies indicate that panel effects can manifest in opinion writing as well as in voting.</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Exploring the role of panel effects on opinion drafting is important because of the key role opinion content plays in legal development. As </w:t>
      </w:r>
      <w:proofErr w:type="spellStart"/>
      <w:r w:rsidRPr="00624B31">
        <w:rPr>
          <w:rFonts w:ascii="Times New Roman" w:hAnsi="Times New Roman" w:cs="Times New Roman"/>
          <w:sz w:val="24"/>
          <w:szCs w:val="24"/>
        </w:rPr>
        <w:t>Songer</w:t>
      </w:r>
      <w:proofErr w:type="spellEnd"/>
      <w:r w:rsidRPr="00624B31">
        <w:rPr>
          <w:rFonts w:ascii="Times New Roman" w:hAnsi="Times New Roman" w:cs="Times New Roman"/>
          <w:sz w:val="24"/>
          <w:szCs w:val="24"/>
        </w:rPr>
        <w:t xml:space="preserve">, Sheehan, and </w:t>
      </w:r>
      <w:proofErr w:type="spellStart"/>
      <w:r w:rsidRPr="00624B31">
        <w:rPr>
          <w:rFonts w:ascii="Times New Roman" w:hAnsi="Times New Roman" w:cs="Times New Roman"/>
          <w:sz w:val="24"/>
          <w:szCs w:val="24"/>
        </w:rPr>
        <w:t>Haire</w:t>
      </w:r>
      <w:proofErr w:type="spellEnd"/>
      <w:r w:rsidRPr="00624B31">
        <w:rPr>
          <w:rFonts w:ascii="Times New Roman" w:hAnsi="Times New Roman" w:cs="Times New Roman"/>
          <w:sz w:val="24"/>
          <w:szCs w:val="24"/>
        </w:rPr>
        <w:t xml:space="preserve"> (</w:t>
      </w:r>
      <w:r w:rsidRPr="00DD04E3">
        <w:rPr>
          <w:rFonts w:ascii="Times New Roman" w:hAnsi="Times New Roman" w:cs="Times New Roman"/>
          <w:sz w:val="24"/>
          <w:szCs w:val="24"/>
        </w:rPr>
        <w:t>2000) note, “[m]</w:t>
      </w:r>
      <w:proofErr w:type="spellStart"/>
      <w:r w:rsidRPr="00DD04E3">
        <w:rPr>
          <w:rFonts w:ascii="Times New Roman" w:hAnsi="Times New Roman" w:cs="Times New Roman"/>
          <w:sz w:val="24"/>
          <w:szCs w:val="24"/>
        </w:rPr>
        <w:t>ost</w:t>
      </w:r>
      <w:proofErr w:type="spellEnd"/>
      <w:r w:rsidRPr="00DD04E3">
        <w:rPr>
          <w:rFonts w:ascii="Times New Roman" w:hAnsi="Times New Roman" w:cs="Times New Roman"/>
          <w:sz w:val="24"/>
          <w:szCs w:val="24"/>
        </w:rPr>
        <w:t xml:space="preserve"> judges consider opinion writing to be the most important part of their work because the court’s</w:t>
      </w:r>
      <w:r w:rsidRPr="00624B31">
        <w:rPr>
          <w:rFonts w:ascii="Times New Roman" w:hAnsi="Times New Roman" w:cs="Times New Roman"/>
          <w:sz w:val="24"/>
          <w:szCs w:val="24"/>
        </w:rPr>
        <w:t xml:space="preserve"> decision will make new law or clarify existing law for those in the legal community.” (11). The details of a published opinion can have important implications for a range of future actors. Many people who will never end up in court may change their behavior in anticipation of how the opinion indicates a future conflict would be </w:t>
      </w:r>
      <w:r w:rsidRPr="00DD04E3">
        <w:rPr>
          <w:rFonts w:ascii="Times New Roman" w:hAnsi="Times New Roman" w:cs="Times New Roman"/>
          <w:sz w:val="24"/>
          <w:szCs w:val="24"/>
        </w:rPr>
        <w:t xml:space="preserve">resolved. More directly relevant here, a range of future litigants will bring claims to court that may be controlled by that precedent. The effect of the precedent in such cases is not static. Studies have shown that how a precedent is used changes its impact over time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2006; </w:t>
      </w:r>
      <w:proofErr w:type="spellStart"/>
      <w:r w:rsidRPr="00DD04E3">
        <w:rPr>
          <w:rFonts w:ascii="Times New Roman" w:hAnsi="Times New Roman" w:cs="Times New Roman"/>
          <w:sz w:val="24"/>
          <w:szCs w:val="24"/>
        </w:rPr>
        <w:t>Westerland</w:t>
      </w:r>
      <w:proofErr w:type="spellEnd"/>
      <w:r w:rsidRPr="00DD04E3">
        <w:rPr>
          <w:rFonts w:ascii="Times New Roman" w:hAnsi="Times New Roman" w:cs="Times New Roman"/>
          <w:sz w:val="24"/>
          <w:szCs w:val="24"/>
        </w:rPr>
        <w:t xml:space="preserve"> et al., 2010). When circuit courts treat Supreme Court precedents more frequently, either positively or negatively, that leads to an increase in the same type of treatment in later circuit cases (</w:t>
      </w:r>
      <w:proofErr w:type="spellStart"/>
      <w:r w:rsidRPr="00DD04E3">
        <w:rPr>
          <w:rFonts w:ascii="Times New Roman" w:hAnsi="Times New Roman" w:cs="Times New Roman"/>
          <w:sz w:val="24"/>
          <w:szCs w:val="24"/>
        </w:rPr>
        <w:t>Westerland</w:t>
      </w:r>
      <w:proofErr w:type="spellEnd"/>
      <w:r w:rsidRPr="00DD04E3">
        <w:rPr>
          <w:rFonts w:ascii="Times New Roman" w:hAnsi="Times New Roman" w:cs="Times New Roman"/>
          <w:sz w:val="24"/>
          <w:szCs w:val="24"/>
        </w:rPr>
        <w:t xml:space="preserve"> et al., 2010). Furthermore, when the Supreme Court narrows the scope of its own precedents through negative treatment, that also increases the probability that it will be narrowed even more in subsequent cases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2006). These results, taken together, suggest that how a circuit uses its own precedents will influence the continued scope of those precedents. Specifically, I hypothesi</w:t>
      </w:r>
      <w:r w:rsidRPr="00624B31">
        <w:rPr>
          <w:rFonts w:ascii="Times New Roman" w:hAnsi="Times New Roman" w:cs="Times New Roman"/>
          <w:sz w:val="24"/>
          <w:szCs w:val="24"/>
        </w:rPr>
        <w:t>ze that a precedent that is negatively treated (or cited) more frequently in a given year will be negatively treated (or cited) more frequently in the following year.</w:t>
      </w:r>
    </w:p>
    <w:p w:rsidR="00C95181" w:rsidRPr="00624B31" w:rsidRDefault="00B90DEA" w:rsidP="00DD04E3">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Decisions that influence the subsequent use of a precedent are important to study because the use of a precedent reflects the impact it has on legal doctrine. The </w:t>
      </w:r>
      <w:r w:rsidRPr="00DD04E3">
        <w:rPr>
          <w:rFonts w:ascii="Times New Roman" w:hAnsi="Times New Roman" w:cs="Times New Roman"/>
          <w:sz w:val="24"/>
          <w:szCs w:val="24"/>
        </w:rPr>
        <w:t>development of law</w:t>
      </w:r>
      <w:r w:rsidR="00E72C6E" w:rsidRPr="00DD04E3">
        <w:rPr>
          <w:rFonts w:ascii="Times New Roman" w:hAnsi="Times New Roman" w:cs="Times New Roman"/>
          <w:sz w:val="24"/>
          <w:szCs w:val="24"/>
        </w:rPr>
        <w:t xml:space="preserve"> </w:t>
      </w:r>
      <w:r w:rsidRPr="00DD04E3">
        <w:rPr>
          <w:rFonts w:ascii="Times New Roman" w:hAnsi="Times New Roman" w:cs="Times New Roman"/>
          <w:sz w:val="24"/>
          <w:szCs w:val="24"/>
        </w:rPr>
        <w:t>is nuanced, complicated, and difficult to measure. But citations and treatment provide</w:t>
      </w:r>
      <w:r w:rsidRPr="00624B31">
        <w:rPr>
          <w:rFonts w:ascii="Times New Roman" w:hAnsi="Times New Roman" w:cs="Times New Roman"/>
          <w:sz w:val="24"/>
          <w:szCs w:val="24"/>
        </w:rPr>
        <w:t xml:space="preserve"> an opportunity to measure this key </w:t>
      </w:r>
      <w:r w:rsidRPr="00DD04E3">
        <w:rPr>
          <w:rFonts w:ascii="Times New Roman" w:hAnsi="Times New Roman" w:cs="Times New Roman"/>
          <w:sz w:val="24"/>
          <w:szCs w:val="24"/>
        </w:rPr>
        <w:t>concept in a way that is useful, if not perfect. Opinions that are cited more often have a larger influence on legal policy than opinions that are cited less often (or not at all) (</w:t>
      </w:r>
      <w:proofErr w:type="spellStart"/>
      <w:r w:rsidRPr="00DD04E3">
        <w:rPr>
          <w:rFonts w:ascii="Times New Roman" w:hAnsi="Times New Roman" w:cs="Times New Roman"/>
          <w:sz w:val="24"/>
          <w:szCs w:val="24"/>
        </w:rPr>
        <w:t>Landes</w:t>
      </w:r>
      <w:proofErr w:type="spellEnd"/>
      <w:r w:rsidRPr="00DD04E3">
        <w:rPr>
          <w:rFonts w:ascii="Times New Roman" w:hAnsi="Times New Roman" w:cs="Times New Roman"/>
          <w:sz w:val="24"/>
          <w:szCs w:val="24"/>
        </w:rPr>
        <w:t xml:space="preserve"> et al., 1998). Admittedly, not all</w:t>
      </w:r>
      <w:r w:rsidRPr="00624B31">
        <w:rPr>
          <w:rFonts w:ascii="Times New Roman" w:hAnsi="Times New Roman" w:cs="Times New Roman"/>
          <w:sz w:val="24"/>
          <w:szCs w:val="24"/>
        </w:rPr>
        <w:t xml:space="preserve"> citations carry the same level of significance. Brief inclusion in a string citation indicates less influence than a more in-depth discussion of a case. However</w:t>
      </w:r>
      <w:r w:rsidRPr="00DD04E3">
        <w:rPr>
          <w:rFonts w:ascii="Times New Roman" w:hAnsi="Times New Roman" w:cs="Times New Roman"/>
          <w:sz w:val="24"/>
          <w:szCs w:val="24"/>
        </w:rPr>
        <w:t xml:space="preserve">, in spite of such limitations, citations can provide valuable insight (e.g. Klein and </w:t>
      </w:r>
      <w:proofErr w:type="spellStart"/>
      <w:r w:rsidRPr="00DD04E3">
        <w:rPr>
          <w:rFonts w:ascii="Times New Roman" w:hAnsi="Times New Roman" w:cs="Times New Roman"/>
          <w:sz w:val="24"/>
          <w:szCs w:val="24"/>
        </w:rPr>
        <w:t>Morrisroe</w:t>
      </w:r>
      <w:proofErr w:type="spellEnd"/>
      <w:r w:rsidRPr="00DD04E3">
        <w:rPr>
          <w:rFonts w:ascii="Times New Roman" w:hAnsi="Times New Roman" w:cs="Times New Roman"/>
          <w:sz w:val="24"/>
          <w:szCs w:val="24"/>
        </w:rPr>
        <w:t>, 1999).</w:t>
      </w:r>
      <w:r w:rsidR="00E72C6E" w:rsidRPr="00DD04E3">
        <w:rPr>
          <w:rStyle w:val="FootnoteReference"/>
          <w:rFonts w:ascii="Times New Roman" w:hAnsi="Times New Roman" w:cs="Times New Roman"/>
          <w:sz w:val="24"/>
          <w:szCs w:val="24"/>
        </w:rPr>
        <w:footnoteReference w:id="3"/>
      </w:r>
      <w:r w:rsidR="003818BE" w:rsidRPr="00624B31">
        <w:rPr>
          <w:rFonts w:ascii="Times New Roman" w:hAnsi="Times New Roman" w:cs="Times New Roman"/>
          <w:sz w:val="24"/>
          <w:szCs w:val="24"/>
          <w:shd w:val="clear" w:color="auto" w:fill="80FFFF"/>
          <w:vertAlign w:val="superscript"/>
        </w:rPr>
        <w:t xml:space="preserve"> </w:t>
      </w:r>
      <w:r w:rsidR="003818BE" w:rsidRPr="00624B31">
        <w:rPr>
          <w:rFonts w:ascii="Times New Roman" w:hAnsi="Times New Roman" w:cs="Times New Roman"/>
          <w:sz w:val="24"/>
          <w:szCs w:val="24"/>
        </w:rPr>
        <w:t xml:space="preserve"> </w:t>
      </w:r>
      <w:r w:rsidRPr="00DD04E3">
        <w:rPr>
          <w:rFonts w:ascii="Times New Roman" w:hAnsi="Times New Roman" w:cs="Times New Roman"/>
          <w:sz w:val="24"/>
          <w:szCs w:val="24"/>
        </w:rPr>
        <w:t>Academics have long viewed citations to their own work as a useful measure of scholarly influence (Margolis, 1967). Arguably, such impact is even more consequential when the documents at issue constitute binding precedent. As a result, exploring</w:t>
      </w:r>
      <w:r w:rsidRPr="00624B31">
        <w:rPr>
          <w:rFonts w:ascii="Times New Roman" w:hAnsi="Times New Roman" w:cs="Times New Roman"/>
          <w:sz w:val="24"/>
          <w:szCs w:val="24"/>
        </w:rPr>
        <w:t xml:space="preserve"> the role panel effects play in decisions about the use of binding precedents ultimately sheds light on the dynamic process of legal development.</w:t>
      </w:r>
    </w:p>
    <w:p w:rsidR="003818BE" w:rsidRPr="00624B31" w:rsidRDefault="003818BE" w:rsidP="006400FB">
      <w:pPr>
        <w:pStyle w:val="Bodytext20"/>
        <w:shd w:val="clear" w:color="auto" w:fill="auto"/>
        <w:spacing w:before="0" w:line="480" w:lineRule="auto"/>
        <w:ind w:firstLine="384"/>
        <w:rPr>
          <w:rFonts w:ascii="Times New Roman" w:hAnsi="Times New Roman" w:cs="Times New Roman"/>
          <w:sz w:val="24"/>
          <w:szCs w:val="24"/>
        </w:rPr>
      </w:pPr>
    </w:p>
    <w:p w:rsidR="00C95181" w:rsidRPr="00624B31" w:rsidRDefault="00B90DEA" w:rsidP="006400FB">
      <w:pPr>
        <w:pStyle w:val="Heading20"/>
        <w:keepNext/>
        <w:keepLines/>
        <w:shd w:val="clear" w:color="auto" w:fill="auto"/>
        <w:spacing w:before="0" w:after="0" w:line="480" w:lineRule="auto"/>
        <w:ind w:firstLine="35"/>
        <w:rPr>
          <w:rFonts w:ascii="Times New Roman" w:hAnsi="Times New Roman" w:cs="Times New Roman"/>
          <w:b/>
          <w:sz w:val="24"/>
          <w:szCs w:val="24"/>
        </w:rPr>
      </w:pPr>
      <w:bookmarkStart w:id="2" w:name="bookmark4"/>
      <w:r w:rsidRPr="00624B31">
        <w:rPr>
          <w:rFonts w:ascii="Times New Roman" w:hAnsi="Times New Roman" w:cs="Times New Roman"/>
          <w:b/>
          <w:sz w:val="24"/>
          <w:szCs w:val="24"/>
        </w:rPr>
        <w:t>Authors and the Impact of other Panel Members</w:t>
      </w:r>
      <w:bookmarkEnd w:id="2"/>
    </w:p>
    <w:p w:rsidR="00C95181" w:rsidRPr="00624B31" w:rsidRDefault="00B90DEA" w:rsidP="006400FB">
      <w:pPr>
        <w:pStyle w:val="Bodytext20"/>
        <w:shd w:val="clear" w:color="auto" w:fill="auto"/>
        <w:spacing w:before="0" w:line="480" w:lineRule="auto"/>
        <w:ind w:firstLine="382"/>
        <w:rPr>
          <w:rFonts w:ascii="Times New Roman" w:hAnsi="Times New Roman" w:cs="Times New Roman"/>
          <w:sz w:val="24"/>
          <w:szCs w:val="24"/>
        </w:rPr>
      </w:pPr>
      <w:r w:rsidRPr="00624B31">
        <w:rPr>
          <w:rFonts w:ascii="Times New Roman" w:hAnsi="Times New Roman" w:cs="Times New Roman"/>
          <w:sz w:val="24"/>
          <w:szCs w:val="24"/>
        </w:rPr>
        <w:t xml:space="preserve">The important role a counterjudge can play in who wins and loses suggests that similar panel effects might extend to how the majority opinion is crafted to influence the development of circuit law. Unlike voting, crafting an opinion is not an activity that divides power equally among the panel members. The responsibility of drafting an opinion to which the other panel members respond gives the author the potential to wield disproportionate power. Moreover, practical considerations and institutional norms dictate that the three members of </w:t>
      </w:r>
      <w:r w:rsidRPr="00DD04E3">
        <w:rPr>
          <w:rFonts w:ascii="Times New Roman" w:hAnsi="Times New Roman" w:cs="Times New Roman"/>
          <w:sz w:val="24"/>
          <w:szCs w:val="24"/>
        </w:rPr>
        <w:t>a panel share opinion-writing duties equally across the subset of cases entrusted to the panel. As a result, over</w:t>
      </w:r>
      <w:r w:rsidRPr="00624B31">
        <w:rPr>
          <w:rFonts w:ascii="Times New Roman" w:hAnsi="Times New Roman" w:cs="Times New Roman"/>
          <w:sz w:val="24"/>
          <w:szCs w:val="24"/>
        </w:rPr>
        <w:t xml:space="preserve"> time almost all circuit judges will not only serve on both split and unified panels</w:t>
      </w:r>
      <w:r w:rsidR="00126D5D" w:rsidRPr="00624B31">
        <w:rPr>
          <w:rFonts w:ascii="Times New Roman" w:hAnsi="Times New Roman" w:cs="Times New Roman"/>
          <w:sz w:val="24"/>
          <w:szCs w:val="24"/>
        </w:rPr>
        <w:t xml:space="preserve"> </w:t>
      </w:r>
      <w:r w:rsidRPr="00624B31">
        <w:rPr>
          <w:rFonts w:ascii="Times New Roman" w:hAnsi="Times New Roman" w:cs="Times New Roman"/>
          <w:sz w:val="24"/>
          <w:szCs w:val="24"/>
        </w:rPr>
        <w:t>and find themselves in both the panel minority and majority, they will also be entrusted with authoring opinions under each possible panel configuration.</w:t>
      </w:r>
    </w:p>
    <w:p w:rsidR="00C95181" w:rsidRPr="00624B31" w:rsidRDefault="00B90DEA" w:rsidP="006400FB">
      <w:pPr>
        <w:pStyle w:val="Bodytext20"/>
        <w:shd w:val="clear" w:color="auto" w:fill="auto"/>
        <w:spacing w:before="0" w:line="480" w:lineRule="auto"/>
        <w:ind w:firstLine="382"/>
        <w:rPr>
          <w:rFonts w:ascii="Times New Roman" w:hAnsi="Times New Roman" w:cs="Times New Roman"/>
          <w:sz w:val="24"/>
          <w:szCs w:val="24"/>
        </w:rPr>
      </w:pPr>
      <w:r w:rsidRPr="00624B31">
        <w:rPr>
          <w:rFonts w:ascii="Times New Roman" w:hAnsi="Times New Roman" w:cs="Times New Roman"/>
          <w:sz w:val="24"/>
          <w:szCs w:val="24"/>
        </w:rPr>
        <w:t xml:space="preserve">The author’s disproportionate power is the reason scholars have turned their attention to studying the process of opinion assignment. </w:t>
      </w:r>
      <w:r w:rsidR="00645751" w:rsidRPr="00624B31">
        <w:rPr>
          <w:rFonts w:ascii="Times New Roman" w:hAnsi="Times New Roman" w:cs="Times New Roman"/>
          <w:sz w:val="24"/>
          <w:szCs w:val="24"/>
        </w:rPr>
        <w:t>In the Supreme Court context a li</w:t>
      </w:r>
      <w:r w:rsidRPr="00624B31">
        <w:rPr>
          <w:rFonts w:ascii="Times New Roman" w:hAnsi="Times New Roman" w:cs="Times New Roman"/>
          <w:sz w:val="24"/>
          <w:szCs w:val="24"/>
        </w:rPr>
        <w:t xml:space="preserve">ne of research has demonstrated that chief justices exercise their opinion-assigning power in an ideological and strategic fashion; even changing their vote to the majority in some instances in order to avoid ceding that power (Brenner and </w:t>
      </w:r>
      <w:proofErr w:type="spellStart"/>
      <w:r w:rsidRPr="00624B31">
        <w:rPr>
          <w:rFonts w:ascii="Times New Roman" w:hAnsi="Times New Roman" w:cs="Times New Roman"/>
          <w:sz w:val="24"/>
          <w:szCs w:val="24"/>
        </w:rPr>
        <w:t>Spaeth</w:t>
      </w:r>
      <w:proofErr w:type="spellEnd"/>
      <w:r w:rsidRPr="00624B31">
        <w:rPr>
          <w:rFonts w:ascii="Times New Roman" w:hAnsi="Times New Roman" w:cs="Times New Roman"/>
          <w:sz w:val="24"/>
          <w:szCs w:val="24"/>
        </w:rPr>
        <w:t xml:space="preserve">, </w:t>
      </w:r>
      <w:r w:rsidRPr="00DD04E3">
        <w:rPr>
          <w:rFonts w:ascii="Times New Roman" w:hAnsi="Times New Roman" w:cs="Times New Roman"/>
          <w:sz w:val="24"/>
          <w:szCs w:val="24"/>
        </w:rPr>
        <w:t xml:space="preserve">1986; </w:t>
      </w:r>
      <w:proofErr w:type="spellStart"/>
      <w:r w:rsidRPr="00DD04E3">
        <w:rPr>
          <w:rFonts w:ascii="Times New Roman" w:hAnsi="Times New Roman" w:cs="Times New Roman"/>
          <w:sz w:val="24"/>
          <w:szCs w:val="24"/>
        </w:rPr>
        <w:t>Maltzman</w:t>
      </w:r>
      <w:proofErr w:type="spellEnd"/>
      <w:r w:rsidRPr="00DD04E3">
        <w:rPr>
          <w:rFonts w:ascii="Times New Roman" w:hAnsi="Times New Roman" w:cs="Times New Roman"/>
          <w:sz w:val="24"/>
          <w:szCs w:val="24"/>
        </w:rPr>
        <w:t xml:space="preserve"> et al., 2000; </w:t>
      </w:r>
      <w:proofErr w:type="spellStart"/>
      <w:r w:rsidRPr="00DD04E3">
        <w:rPr>
          <w:rFonts w:ascii="Times New Roman" w:hAnsi="Times New Roman" w:cs="Times New Roman"/>
          <w:sz w:val="24"/>
          <w:szCs w:val="24"/>
        </w:rPr>
        <w:t>Maltzman</w:t>
      </w:r>
      <w:proofErr w:type="spellEnd"/>
      <w:r w:rsidRPr="00DD04E3">
        <w:rPr>
          <w:rFonts w:ascii="Times New Roman" w:hAnsi="Times New Roman" w:cs="Times New Roman"/>
          <w:sz w:val="24"/>
          <w:szCs w:val="24"/>
        </w:rPr>
        <w:t xml:space="preserve"> and </w:t>
      </w:r>
      <w:proofErr w:type="spellStart"/>
      <w:r w:rsidRPr="00DD04E3">
        <w:rPr>
          <w:rFonts w:ascii="Times New Roman" w:hAnsi="Times New Roman" w:cs="Times New Roman"/>
          <w:sz w:val="24"/>
          <w:szCs w:val="24"/>
        </w:rPr>
        <w:t>Wahlbeck</w:t>
      </w:r>
      <w:proofErr w:type="spellEnd"/>
      <w:r w:rsidRPr="00DD04E3">
        <w:rPr>
          <w:rFonts w:ascii="Times New Roman" w:hAnsi="Times New Roman" w:cs="Times New Roman"/>
          <w:sz w:val="24"/>
          <w:szCs w:val="24"/>
        </w:rPr>
        <w:t xml:space="preserve">, 1996). The power of assignment is valuable because the opinion author </w:t>
      </w:r>
      <w:r w:rsidR="00DD04E3" w:rsidRPr="00DD04E3">
        <w:rPr>
          <w:rFonts w:ascii="Times New Roman" w:hAnsi="Times New Roman" w:cs="Times New Roman"/>
          <w:sz w:val="24"/>
          <w:szCs w:val="24"/>
        </w:rPr>
        <w:t>possesses</w:t>
      </w:r>
      <w:r w:rsidRPr="00DD04E3">
        <w:rPr>
          <w:rFonts w:ascii="Times New Roman" w:hAnsi="Times New Roman" w:cs="Times New Roman"/>
          <w:sz w:val="24"/>
          <w:szCs w:val="24"/>
        </w:rPr>
        <w:t xml:space="preserve"> a first-mover advantage in framing the scope and content of the legal rule (Lax, 2007; </w:t>
      </w:r>
      <w:proofErr w:type="spellStart"/>
      <w:r w:rsidRPr="00DD04E3">
        <w:rPr>
          <w:rFonts w:ascii="Times New Roman" w:hAnsi="Times New Roman" w:cs="Times New Roman"/>
          <w:sz w:val="24"/>
          <w:szCs w:val="24"/>
        </w:rPr>
        <w:t>Maltzman</w:t>
      </w:r>
      <w:proofErr w:type="spellEnd"/>
      <w:r w:rsidRPr="00DD04E3">
        <w:rPr>
          <w:rFonts w:ascii="Times New Roman" w:hAnsi="Times New Roman" w:cs="Times New Roman"/>
          <w:sz w:val="24"/>
          <w:szCs w:val="24"/>
        </w:rPr>
        <w:t xml:space="preserve"> et al., 2000; Murphy, 1964). We currently know less about the politics of opinion assignment at the circuit level, but what we know suggests assignment is done in a more collaborative fashion (Cheng, 2008; </w:t>
      </w:r>
      <w:proofErr w:type="spellStart"/>
      <w:r w:rsidRPr="00DD04E3">
        <w:rPr>
          <w:rFonts w:ascii="Times New Roman" w:hAnsi="Times New Roman" w:cs="Times New Roman"/>
          <w:sz w:val="24"/>
          <w:szCs w:val="24"/>
        </w:rPr>
        <w:t>Farhang</w:t>
      </w:r>
      <w:proofErr w:type="spellEnd"/>
      <w:r w:rsidRPr="00DD04E3">
        <w:rPr>
          <w:rFonts w:ascii="Times New Roman" w:hAnsi="Times New Roman" w:cs="Times New Roman"/>
          <w:sz w:val="24"/>
          <w:szCs w:val="24"/>
        </w:rPr>
        <w:t xml:space="preserve"> et al., 2015). Regardless of how opinions are assigned, circuit court authors have considerable power since they frame the legal rule set forth in the opinion and face considerably less input from their colleagues than occurs at the Supreme Court (Choi and Gulati, 2007). Rather</w:t>
      </w:r>
      <w:r w:rsidRPr="00624B31">
        <w:rPr>
          <w:rFonts w:ascii="Times New Roman" w:hAnsi="Times New Roman" w:cs="Times New Roman"/>
          <w:sz w:val="24"/>
          <w:szCs w:val="24"/>
        </w:rPr>
        <w:t xml:space="preserve"> than explore why opinions are assigned to particular judges, this article focuses on the question of whether panel configuration influences how the assigned author carries out that task.</w:t>
      </w:r>
    </w:p>
    <w:p w:rsidR="00C95181" w:rsidRPr="00624B31" w:rsidRDefault="00B90DEA" w:rsidP="006400FB">
      <w:pPr>
        <w:pStyle w:val="Bodytext20"/>
        <w:shd w:val="clear" w:color="auto" w:fill="auto"/>
        <w:spacing w:before="0" w:line="480" w:lineRule="auto"/>
        <w:ind w:firstLine="382"/>
        <w:rPr>
          <w:rFonts w:ascii="Times New Roman" w:hAnsi="Times New Roman" w:cs="Times New Roman"/>
          <w:sz w:val="24"/>
          <w:szCs w:val="24"/>
        </w:rPr>
      </w:pPr>
      <w:r w:rsidRPr="00624B31">
        <w:rPr>
          <w:rFonts w:ascii="Times New Roman" w:hAnsi="Times New Roman" w:cs="Times New Roman"/>
          <w:sz w:val="24"/>
          <w:szCs w:val="24"/>
        </w:rPr>
        <w:t xml:space="preserve">While circuit judges possess a clear opportunity to exercise power when they draft an opinion, there are also very real limitations on that power. Most obvious is that the case outcome is generally determined in advance. Although the deliberative process is secret, we do know that it typically involves registering preliminary votes. Only after a tentative </w:t>
      </w:r>
      <w:r w:rsidRPr="00DD04E3">
        <w:rPr>
          <w:rFonts w:ascii="Times New Roman" w:hAnsi="Times New Roman" w:cs="Times New Roman"/>
          <w:sz w:val="24"/>
          <w:szCs w:val="24"/>
        </w:rPr>
        <w:t>determination about the outcome of the case is one judge assigned to draft the majority opinion (Bowie et al., 2014: 62-65). Consequently, a major limitation on the parameters of how an author writes an opinion is that the outcome has been determined in advance. Any change to the case outcome after the majority opinion draft is circulated is unusual. During an interview one circuit judge estimated that votes change after the pre</w:t>
      </w:r>
      <w:r w:rsidR="00672C98" w:rsidRPr="00DD04E3">
        <w:rPr>
          <w:rFonts w:ascii="Times New Roman" w:hAnsi="Times New Roman" w:cs="Times New Roman"/>
          <w:sz w:val="24"/>
          <w:szCs w:val="24"/>
        </w:rPr>
        <w:t>li</w:t>
      </w:r>
      <w:r w:rsidRPr="00DD04E3">
        <w:rPr>
          <w:rFonts w:ascii="Times New Roman" w:hAnsi="Times New Roman" w:cs="Times New Roman"/>
          <w:sz w:val="24"/>
          <w:szCs w:val="24"/>
        </w:rPr>
        <w:t>minary vote at the conference “in maybe 8 or 9 percent of the cases” (Bowie et al., 2014: 99). Another obvious</w:t>
      </w:r>
      <w:r w:rsidR="00672C98" w:rsidRPr="00DD04E3">
        <w:rPr>
          <w:rFonts w:ascii="Times New Roman" w:hAnsi="Times New Roman" w:cs="Times New Roman"/>
          <w:sz w:val="24"/>
          <w:szCs w:val="24"/>
        </w:rPr>
        <w:t xml:space="preserve"> </w:t>
      </w:r>
      <w:r w:rsidRPr="00DD04E3">
        <w:rPr>
          <w:rFonts w:ascii="Times New Roman" w:hAnsi="Times New Roman" w:cs="Times New Roman"/>
          <w:sz w:val="24"/>
          <w:szCs w:val="24"/>
        </w:rPr>
        <w:t>limitation is that a judge is constrained to write about the facts of a case and the legal issues they ra</w:t>
      </w:r>
      <w:r w:rsidRPr="00624B31">
        <w:rPr>
          <w:rFonts w:ascii="Times New Roman" w:hAnsi="Times New Roman" w:cs="Times New Roman"/>
          <w:sz w:val="24"/>
          <w:szCs w:val="24"/>
        </w:rPr>
        <w:t>ise. The following discussion focuses on the discretion an author can wield within these constraints.</w:t>
      </w:r>
    </w:p>
    <w:p w:rsidR="00C95181" w:rsidRPr="00624B31" w:rsidRDefault="00B90DEA" w:rsidP="006400FB">
      <w:pPr>
        <w:pStyle w:val="Bodytext20"/>
        <w:shd w:val="clear" w:color="auto" w:fill="auto"/>
        <w:spacing w:before="0" w:line="480" w:lineRule="auto"/>
        <w:ind w:firstLine="398"/>
        <w:rPr>
          <w:rFonts w:ascii="Times New Roman" w:hAnsi="Times New Roman" w:cs="Times New Roman"/>
          <w:sz w:val="24"/>
          <w:szCs w:val="24"/>
        </w:rPr>
      </w:pPr>
      <w:r w:rsidRPr="00624B31">
        <w:rPr>
          <w:rFonts w:ascii="Times New Roman" w:hAnsi="Times New Roman" w:cs="Times New Roman"/>
          <w:sz w:val="24"/>
          <w:szCs w:val="24"/>
        </w:rPr>
        <w:t xml:space="preserve">Even in the typical case in which votes on the outcome remain constant from the conference to the release of the finalized </w:t>
      </w:r>
      <w:r w:rsidRPr="00DD04E3">
        <w:rPr>
          <w:rFonts w:ascii="Times New Roman" w:hAnsi="Times New Roman" w:cs="Times New Roman"/>
          <w:sz w:val="24"/>
          <w:szCs w:val="24"/>
        </w:rPr>
        <w:t xml:space="preserve">majority opinion, authors still exercise discretion about how to draft an opinion. As Kim (2009) notes, “[t]he reasons that they [judges] give to justify their decisions are critical, for it is the content of opinions rather than the simple declaration of a winner that shapes the development of the law.” (1343) These reasons are primarily crafted by the opinion author. Although the other two judges on a panel retain the power to ask for changes or withdraw their support of a draft opinion, there is reason to expect that circuit judges give a fairly high level of deference to the author, at least compared to the Supreme Court (Choi and Gulati, 2007). The sheer magnitude of circuit court caseloads makes efficiency a necessity rather than a luxury. Faced with mandatory jurisdiction, increasing caseloads, and frequent lengthy vacancies in existing circuit court seats, circuit judges have limited resources to devote to the consideration of each case (Cheng, 2008; </w:t>
      </w:r>
      <w:proofErr w:type="spellStart"/>
      <w:r w:rsidRPr="00DD04E3">
        <w:rPr>
          <w:rFonts w:ascii="Times New Roman" w:hAnsi="Times New Roman" w:cs="Times New Roman"/>
          <w:sz w:val="24"/>
          <w:szCs w:val="24"/>
        </w:rPr>
        <w:t>Farhang</w:t>
      </w:r>
      <w:proofErr w:type="spellEnd"/>
      <w:r w:rsidRPr="00DD04E3">
        <w:rPr>
          <w:rFonts w:ascii="Times New Roman" w:hAnsi="Times New Roman" w:cs="Times New Roman"/>
          <w:sz w:val="24"/>
          <w:szCs w:val="24"/>
        </w:rPr>
        <w:t xml:space="preserve"> et al., 2015; Wood, 2012). Furthermore, when an author includes a citation to a binding precedent, legal doctrine may shield that decision from criticism. </w:t>
      </w:r>
      <w:proofErr w:type="spellStart"/>
      <w:r w:rsidRPr="00DD04E3">
        <w:rPr>
          <w:rFonts w:ascii="Times New Roman" w:hAnsi="Times New Roman" w:cs="Times New Roman"/>
          <w:sz w:val="24"/>
          <w:szCs w:val="24"/>
        </w:rPr>
        <w:t>Beim</w:t>
      </w:r>
      <w:proofErr w:type="spellEnd"/>
      <w:r w:rsidRPr="00DD04E3">
        <w:rPr>
          <w:rFonts w:ascii="Times New Roman" w:hAnsi="Times New Roman" w:cs="Times New Roman"/>
          <w:sz w:val="24"/>
          <w:szCs w:val="24"/>
        </w:rPr>
        <w:t xml:space="preserve"> and </w:t>
      </w:r>
      <w:proofErr w:type="spellStart"/>
      <w:r w:rsidRPr="00DD04E3">
        <w:rPr>
          <w:rFonts w:ascii="Times New Roman" w:hAnsi="Times New Roman" w:cs="Times New Roman"/>
          <w:sz w:val="24"/>
          <w:szCs w:val="24"/>
        </w:rPr>
        <w:t>Kastellec</w:t>
      </w:r>
      <w:proofErr w:type="spellEnd"/>
      <w:r w:rsidRPr="00DD04E3">
        <w:rPr>
          <w:rFonts w:ascii="Times New Roman" w:hAnsi="Times New Roman" w:cs="Times New Roman"/>
          <w:sz w:val="24"/>
          <w:szCs w:val="24"/>
        </w:rPr>
        <w:t xml:space="preserve"> (2014) note that counterjudges who are aligned with circuit law are in a stronger negotiating position. Similarly, authors, even counterjudge</w:t>
      </w:r>
      <w:r w:rsidRPr="00624B31">
        <w:rPr>
          <w:rFonts w:ascii="Times New Roman" w:hAnsi="Times New Roman" w:cs="Times New Roman"/>
          <w:sz w:val="24"/>
          <w:szCs w:val="24"/>
        </w:rPr>
        <w:t xml:space="preserve"> authors, who are aligned with a binding precedent can rely on stare decisis to support their ideologically-preferred course of action.</w:t>
      </w:r>
    </w:p>
    <w:p w:rsidR="00C95181" w:rsidRPr="00624B31" w:rsidRDefault="00B90DEA" w:rsidP="006400FB">
      <w:pPr>
        <w:pStyle w:val="Bodytext20"/>
        <w:shd w:val="clear" w:color="auto" w:fill="auto"/>
        <w:spacing w:before="0" w:line="480" w:lineRule="auto"/>
        <w:ind w:firstLine="398"/>
        <w:rPr>
          <w:rFonts w:ascii="Times New Roman" w:hAnsi="Times New Roman" w:cs="Times New Roman"/>
          <w:sz w:val="24"/>
          <w:szCs w:val="24"/>
        </w:rPr>
      </w:pPr>
      <w:r w:rsidRPr="00624B31">
        <w:rPr>
          <w:rFonts w:ascii="Times New Roman" w:hAnsi="Times New Roman" w:cs="Times New Roman"/>
          <w:sz w:val="24"/>
          <w:szCs w:val="24"/>
        </w:rPr>
        <w:t xml:space="preserve">Although concerns about efficiency, effort aversion, and legal doctrine may result in deference to the author, they may also result in deference by the author to the preferences of her panel colleagues. A central element in the various explanations for panel effects is avoiding separate opinions. According to </w:t>
      </w:r>
      <w:r w:rsidRPr="00DD04E3">
        <w:rPr>
          <w:rFonts w:ascii="Times New Roman" w:hAnsi="Times New Roman" w:cs="Times New Roman"/>
          <w:sz w:val="24"/>
          <w:szCs w:val="24"/>
        </w:rPr>
        <w:t>Whistleblower Theory, dissenting opinions are avoided to reduce the probability of external review (</w:t>
      </w:r>
      <w:proofErr w:type="spellStart"/>
      <w:r w:rsidRPr="00DD04E3">
        <w:rPr>
          <w:rFonts w:ascii="Times New Roman" w:hAnsi="Times New Roman" w:cs="Times New Roman"/>
          <w:sz w:val="24"/>
          <w:szCs w:val="24"/>
        </w:rPr>
        <w:t>Beim</w:t>
      </w:r>
      <w:proofErr w:type="spellEnd"/>
      <w:r w:rsidRPr="00DD04E3">
        <w:rPr>
          <w:rFonts w:ascii="Times New Roman" w:hAnsi="Times New Roman" w:cs="Times New Roman"/>
          <w:sz w:val="24"/>
          <w:szCs w:val="24"/>
        </w:rPr>
        <w:t xml:space="preserve"> et al., 2016</w:t>
      </w:r>
      <w:r w:rsidRPr="00624B31">
        <w:rPr>
          <w:rFonts w:ascii="Times New Roman" w:hAnsi="Times New Roman" w:cs="Times New Roman"/>
          <w:sz w:val="24"/>
          <w:szCs w:val="24"/>
        </w:rPr>
        <w:t xml:space="preserve">; Cross and Tiller, 1998; </w:t>
      </w:r>
      <w:proofErr w:type="spellStart"/>
      <w:r w:rsidRPr="00624B31">
        <w:rPr>
          <w:rFonts w:ascii="Times New Roman" w:hAnsi="Times New Roman" w:cs="Times New Roman"/>
          <w:sz w:val="24"/>
          <w:szCs w:val="24"/>
        </w:rPr>
        <w:t>Kastellec</w:t>
      </w:r>
      <w:proofErr w:type="spellEnd"/>
      <w:r w:rsidRPr="00624B31">
        <w:rPr>
          <w:rFonts w:ascii="Times New Roman" w:hAnsi="Times New Roman" w:cs="Times New Roman"/>
          <w:sz w:val="24"/>
          <w:szCs w:val="24"/>
        </w:rPr>
        <w:t>, 2011). Deliberative explanations incorporate judges’ general unwillingness</w:t>
      </w:r>
      <w:r w:rsidR="00672C98" w:rsidRPr="00624B31">
        <w:rPr>
          <w:rFonts w:ascii="Times New Roman" w:hAnsi="Times New Roman" w:cs="Times New Roman"/>
          <w:sz w:val="24"/>
          <w:szCs w:val="24"/>
        </w:rPr>
        <w:t xml:space="preserve"> </w:t>
      </w:r>
      <w:r w:rsidRPr="00624B31">
        <w:rPr>
          <w:rFonts w:ascii="Times New Roman" w:hAnsi="Times New Roman" w:cs="Times New Roman"/>
          <w:sz w:val="24"/>
          <w:szCs w:val="24"/>
        </w:rPr>
        <w:t>to openly disagree with colleagues as one of the reasons they are open to being persuaded (rather than writing separately) (</w:t>
      </w:r>
      <w:proofErr w:type="spellStart"/>
      <w:r w:rsidRPr="00DD04E3">
        <w:rPr>
          <w:rFonts w:ascii="Times New Roman" w:hAnsi="Times New Roman" w:cs="Times New Roman"/>
          <w:sz w:val="24"/>
          <w:szCs w:val="24"/>
        </w:rPr>
        <w:t>Haire</w:t>
      </w:r>
      <w:proofErr w:type="spellEnd"/>
      <w:r w:rsidRPr="00DD04E3">
        <w:rPr>
          <w:rFonts w:ascii="Times New Roman" w:hAnsi="Times New Roman" w:cs="Times New Roman"/>
          <w:sz w:val="24"/>
          <w:szCs w:val="24"/>
        </w:rPr>
        <w:t xml:space="preserve"> et al., 2013; Spitzer and Talley, 2013). Finally, internal strategic explanations emphasize the extra time and effort required by separate opinions (Epstein et al., 2011; </w:t>
      </w:r>
      <w:proofErr w:type="spellStart"/>
      <w:r w:rsidRPr="00DD04E3">
        <w:rPr>
          <w:rFonts w:ascii="Times New Roman" w:hAnsi="Times New Roman" w:cs="Times New Roman"/>
          <w:sz w:val="24"/>
          <w:szCs w:val="24"/>
        </w:rPr>
        <w:t>Fischman</w:t>
      </w:r>
      <w:proofErr w:type="spellEnd"/>
      <w:r w:rsidRPr="00DD04E3">
        <w:rPr>
          <w:rFonts w:ascii="Times New Roman" w:hAnsi="Times New Roman" w:cs="Times New Roman"/>
          <w:sz w:val="24"/>
          <w:szCs w:val="24"/>
        </w:rPr>
        <w:t>, 2015; Posner, 2008). The shared</w:t>
      </w:r>
      <w:r w:rsidRPr="00624B31">
        <w:rPr>
          <w:rFonts w:ascii="Times New Roman" w:hAnsi="Times New Roman" w:cs="Times New Roman"/>
          <w:sz w:val="24"/>
          <w:szCs w:val="24"/>
        </w:rPr>
        <w:t xml:space="preserve"> element is various benefits judges enjoy when they vote in a manner that prevents separate opinions. Panel effects on opinion writing may similarly be generated by authors working to avoid separate opinions.</w:t>
      </w:r>
    </w:p>
    <w:p w:rsidR="00C95181" w:rsidRPr="00624B31" w:rsidRDefault="00B90DEA" w:rsidP="006400FB">
      <w:pPr>
        <w:pStyle w:val="Bodytext20"/>
        <w:shd w:val="clear" w:color="auto" w:fill="auto"/>
        <w:spacing w:before="0" w:line="480" w:lineRule="auto"/>
        <w:ind w:firstLine="398"/>
        <w:rPr>
          <w:rFonts w:ascii="Times New Roman" w:hAnsi="Times New Roman" w:cs="Times New Roman"/>
          <w:sz w:val="24"/>
          <w:szCs w:val="24"/>
        </w:rPr>
      </w:pPr>
      <w:r w:rsidRPr="00624B31">
        <w:rPr>
          <w:rFonts w:ascii="Times New Roman" w:hAnsi="Times New Roman" w:cs="Times New Roman"/>
          <w:sz w:val="24"/>
          <w:szCs w:val="24"/>
        </w:rPr>
        <w:t xml:space="preserve">There are two ways authors may reduce the probability of separate opinions. First, authors may accommodate revisions requested by other panel members after the draft majority opinion is circulated. Second, the author may anticipate the preferences of the other panel members and initially draft an opinion that is designed to satisfy their concerns. Deliberation about the content of an opinion would manifest as the first type of dynamic. Non-author panel members who are ideologically diverse may bring a wider range of information to the case and suggest the inclusion of additional </w:t>
      </w:r>
      <w:r w:rsidRPr="00DD04E3">
        <w:rPr>
          <w:rFonts w:ascii="Times New Roman" w:hAnsi="Times New Roman" w:cs="Times New Roman"/>
          <w:sz w:val="24"/>
          <w:szCs w:val="24"/>
        </w:rPr>
        <w:t>circuit precedents or make a persuasive case for a different approach to discussing cited circuit law. Evidence from interviews of circuit judges indicates that quite a bit of bargaining over the content of published opinions does take place, in spite of their busy caseloads (Bowie et al., 2014: 93-99). Therefore, there is plenty of opportunity for non-authors to weigh in about various nuances of an opinion, including the use of precedent. The fact that panels take a longer time to issue the final opinion when the panel is more ideologically diverse suggests that differing views on a panel may tend to generate more back-and-forth over the opinion content (Bowie et al., 2014: 110). Since precedents from the same circuit are binding as a matter of legal doctrine, non-authors have a particularly strong doctrinal foundation for asking an author to incorporate such precedents (</w:t>
      </w:r>
      <w:proofErr w:type="spellStart"/>
      <w:r w:rsidRPr="00DD04E3">
        <w:rPr>
          <w:rFonts w:ascii="Times New Roman" w:hAnsi="Times New Roman" w:cs="Times New Roman"/>
          <w:sz w:val="24"/>
          <w:szCs w:val="24"/>
        </w:rPr>
        <w:t>Beim</w:t>
      </w:r>
      <w:proofErr w:type="spellEnd"/>
      <w:r w:rsidRPr="00DD04E3">
        <w:rPr>
          <w:rFonts w:ascii="Times New Roman" w:hAnsi="Times New Roman" w:cs="Times New Roman"/>
          <w:sz w:val="24"/>
          <w:szCs w:val="24"/>
        </w:rPr>
        <w:t xml:space="preserve"> and </w:t>
      </w:r>
      <w:proofErr w:type="spellStart"/>
      <w:r w:rsidRPr="00DD04E3">
        <w:rPr>
          <w:rFonts w:ascii="Times New Roman" w:hAnsi="Times New Roman" w:cs="Times New Roman"/>
          <w:sz w:val="24"/>
          <w:szCs w:val="24"/>
        </w:rPr>
        <w:t>Kastellec</w:t>
      </w:r>
      <w:proofErr w:type="spellEnd"/>
      <w:r w:rsidRPr="00624B31">
        <w:rPr>
          <w:rFonts w:ascii="Times New Roman" w:hAnsi="Times New Roman" w:cs="Times New Roman"/>
          <w:sz w:val="24"/>
          <w:szCs w:val="24"/>
        </w:rPr>
        <w:t>, 2014; Tiller, 2015).</w:t>
      </w:r>
    </w:p>
    <w:p w:rsidR="00C95181" w:rsidRPr="00624B31" w:rsidRDefault="00B90DEA" w:rsidP="006400FB">
      <w:pPr>
        <w:pStyle w:val="Bodytext20"/>
        <w:shd w:val="clear" w:color="auto" w:fill="auto"/>
        <w:spacing w:before="0" w:line="480" w:lineRule="auto"/>
        <w:ind w:firstLine="398"/>
        <w:rPr>
          <w:rFonts w:ascii="Times New Roman" w:hAnsi="Times New Roman" w:cs="Times New Roman"/>
          <w:sz w:val="24"/>
          <w:szCs w:val="24"/>
        </w:rPr>
      </w:pPr>
      <w:r w:rsidRPr="00624B31">
        <w:rPr>
          <w:rFonts w:ascii="Times New Roman" w:hAnsi="Times New Roman" w:cs="Times New Roman"/>
          <w:sz w:val="24"/>
          <w:szCs w:val="24"/>
        </w:rPr>
        <w:t>In addition to the iterative circulation of opinion drafts, circuit judges also discuss the fact that their initial drafts are constructed with the other panel members in mind (</w:t>
      </w:r>
      <w:r w:rsidRPr="00DD04E3">
        <w:rPr>
          <w:rFonts w:ascii="Times New Roman" w:hAnsi="Times New Roman" w:cs="Times New Roman"/>
          <w:sz w:val="24"/>
          <w:szCs w:val="24"/>
        </w:rPr>
        <w:t>Bowie et al., 2014</w:t>
      </w:r>
      <w:r w:rsidRPr="00624B31">
        <w:rPr>
          <w:rFonts w:ascii="Times New Roman" w:hAnsi="Times New Roman" w:cs="Times New Roman"/>
          <w:sz w:val="24"/>
          <w:szCs w:val="24"/>
        </w:rPr>
        <w:t xml:space="preserve">: 97-98). One interviewed judge </w:t>
      </w:r>
      <w:r w:rsidRPr="00DD04E3">
        <w:rPr>
          <w:rFonts w:ascii="Times New Roman" w:hAnsi="Times New Roman" w:cs="Times New Roman"/>
          <w:sz w:val="24"/>
          <w:szCs w:val="24"/>
        </w:rPr>
        <w:t>reported that “If you are assigned to write the</w:t>
      </w:r>
      <w:r w:rsidR="00244523" w:rsidRPr="00DD04E3">
        <w:rPr>
          <w:rFonts w:ascii="Times New Roman" w:hAnsi="Times New Roman" w:cs="Times New Roman"/>
          <w:sz w:val="24"/>
          <w:szCs w:val="24"/>
        </w:rPr>
        <w:t xml:space="preserve"> </w:t>
      </w:r>
      <w:r w:rsidRPr="00DD04E3">
        <w:rPr>
          <w:rFonts w:ascii="Times New Roman" w:hAnsi="Times New Roman" w:cs="Times New Roman"/>
          <w:sz w:val="24"/>
          <w:szCs w:val="24"/>
        </w:rPr>
        <w:t xml:space="preserve">court opinion you will always take into account what the preferences of your colleagues are” (Bowie et al., 2014: 97). The motivation for such anticipation can be framed in strategic terms. Delays in getting one opinion finalized do not prevent an author’s writing obligations in other cases from piling up. The swiftest way to dispatch with an authorship assignment is to circulate an initial draft that satisfies both panel colleagues with minimal revisions. When a draft raises concerns for one or both of the non-authors, more effort is required by the author whether the concerns are accommodated or whether they lead to the other judge writing a separate opinion. The presence of a separate opinion both delays the resolution of the case in general and creates additional work for the author of the majority opinion because it is typical to revise the majority opinion to address the arguments raised in the separate opinion (Bowie et al., 2014; Epstein et al., 2013; </w:t>
      </w:r>
      <w:proofErr w:type="spellStart"/>
      <w:r w:rsidRPr="00DD04E3">
        <w:rPr>
          <w:rFonts w:ascii="Times New Roman" w:hAnsi="Times New Roman" w:cs="Times New Roman"/>
          <w:sz w:val="24"/>
          <w:szCs w:val="24"/>
        </w:rPr>
        <w:t>Haire</w:t>
      </w:r>
      <w:proofErr w:type="spellEnd"/>
      <w:r w:rsidRPr="00DD04E3">
        <w:rPr>
          <w:rFonts w:ascii="Times New Roman" w:hAnsi="Times New Roman" w:cs="Times New Roman"/>
          <w:sz w:val="24"/>
          <w:szCs w:val="24"/>
        </w:rPr>
        <w:t xml:space="preserve"> et al., 2013</w:t>
      </w:r>
      <w:r w:rsidRPr="00624B31">
        <w:rPr>
          <w:rFonts w:ascii="Times New Roman" w:hAnsi="Times New Roman" w:cs="Times New Roman"/>
          <w:sz w:val="24"/>
          <w:szCs w:val="24"/>
        </w:rPr>
        <w:t>). Authors can minimize such complications by anticipating the preferences of their panel colleagues.</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An author can craft an opinion to frame a legal rule narrowly or broadly. That framing can influence how many future cases will be controlled by the same reasoning. Yet gaining theoretical and empirical traction on such nuances poses serious challenges. These are mitigated by the central role of precedent in legal reasoning. In the abstract a judge’s task is to determine which previous cases are similar in important respects and which are not. In reality, the panoply of precedents available to apply in any given case potentially gives an author the </w:t>
      </w:r>
      <w:r w:rsidRPr="00DD04E3">
        <w:rPr>
          <w:rFonts w:ascii="Times New Roman" w:hAnsi="Times New Roman" w:cs="Times New Roman"/>
          <w:sz w:val="24"/>
          <w:szCs w:val="24"/>
        </w:rPr>
        <w:t xml:space="preserve">opportunity to cherry-pick those which they prefer and ignore (or explicitly reject) other precedents (Cross et al., 2010; </w:t>
      </w:r>
      <w:proofErr w:type="spellStart"/>
      <w:r w:rsidRPr="00DD04E3">
        <w:rPr>
          <w:rFonts w:ascii="Times New Roman" w:hAnsi="Times New Roman" w:cs="Times New Roman"/>
          <w:sz w:val="24"/>
          <w:szCs w:val="24"/>
        </w:rPr>
        <w:t>Niblett</w:t>
      </w:r>
      <w:proofErr w:type="spellEnd"/>
      <w:r w:rsidRPr="00DD04E3">
        <w:rPr>
          <w:rFonts w:ascii="Times New Roman" w:hAnsi="Times New Roman" w:cs="Times New Roman"/>
          <w:sz w:val="24"/>
          <w:szCs w:val="24"/>
        </w:rPr>
        <w:t>, 2010). According to the doctrine of stare decisis, all published circuit court opinions</w:t>
      </w:r>
      <w:r w:rsidRPr="00624B31">
        <w:rPr>
          <w:rFonts w:ascii="Times New Roman" w:hAnsi="Times New Roman" w:cs="Times New Roman"/>
          <w:sz w:val="24"/>
          <w:szCs w:val="24"/>
        </w:rPr>
        <w:t xml:space="preserve"> are binding within their own circuit (Barnett, 2002; Lee III, 2003). However, empirical research shows that a judge’s own ideology influences when and how they comply with stare decisis (Choi and Gulati, 2007; Hume, 2009; </w:t>
      </w:r>
      <w:proofErr w:type="spellStart"/>
      <w:r w:rsidRPr="00624B31">
        <w:rPr>
          <w:rFonts w:ascii="Times New Roman" w:hAnsi="Times New Roman" w:cs="Times New Roman"/>
          <w:sz w:val="24"/>
          <w:szCs w:val="24"/>
        </w:rPr>
        <w:t>Niblett</w:t>
      </w:r>
      <w:proofErr w:type="spellEnd"/>
      <w:r w:rsidRPr="00624B31">
        <w:rPr>
          <w:rFonts w:ascii="Times New Roman" w:hAnsi="Times New Roman" w:cs="Times New Roman"/>
          <w:sz w:val="24"/>
          <w:szCs w:val="24"/>
        </w:rPr>
        <w:t xml:space="preserve"> and Yoon, 2015;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and Hansford, 2002).</w:t>
      </w:r>
    </w:p>
    <w:p w:rsidR="000C1EC5"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An author seeking to shape circuit law in accordance with his own preferences will seek to cite ideologically proximate precedents and ignore or negatively treat ideologically distant precedents. If panel effects constrain how an opinion is crafted,</w:t>
      </w:r>
      <w:r w:rsidR="00E821E6" w:rsidRPr="00624B31">
        <w:rPr>
          <w:rFonts w:ascii="Times New Roman" w:hAnsi="Times New Roman" w:cs="Times New Roman"/>
          <w:sz w:val="24"/>
          <w:szCs w:val="24"/>
        </w:rPr>
        <w:t xml:space="preserve"> the effect of the author’s ide</w:t>
      </w:r>
      <w:r w:rsidRPr="00624B31">
        <w:rPr>
          <w:rFonts w:ascii="Times New Roman" w:hAnsi="Times New Roman" w:cs="Times New Roman"/>
          <w:sz w:val="24"/>
          <w:szCs w:val="24"/>
        </w:rPr>
        <w:t>o</w:t>
      </w:r>
      <w:r w:rsidRPr="0074799E">
        <w:rPr>
          <w:rStyle w:val="Bodytext12Exact"/>
          <w:rFonts w:ascii="Times New Roman" w:hAnsi="Times New Roman"/>
          <w:sz w:val="24"/>
        </w:rPr>
        <w:t>l</w:t>
      </w:r>
      <w:r w:rsidRPr="00624B31">
        <w:rPr>
          <w:rFonts w:ascii="Times New Roman" w:hAnsi="Times New Roman" w:cs="Times New Roman"/>
          <w:sz w:val="24"/>
          <w:szCs w:val="24"/>
        </w:rPr>
        <w:t>ogy on citation and treatment decisions will b</w:t>
      </w:r>
      <w:r w:rsidR="00E821E6" w:rsidRPr="00624B31">
        <w:rPr>
          <w:rFonts w:ascii="Times New Roman" w:hAnsi="Times New Roman" w:cs="Times New Roman"/>
          <w:sz w:val="24"/>
          <w:szCs w:val="24"/>
        </w:rPr>
        <w:t>e dampened when the panel is spli</w:t>
      </w:r>
      <w:r w:rsidRPr="00624B31">
        <w:rPr>
          <w:rFonts w:ascii="Times New Roman" w:hAnsi="Times New Roman" w:cs="Times New Roman"/>
          <w:sz w:val="24"/>
          <w:szCs w:val="24"/>
        </w:rPr>
        <w:t>t compared to when the panel is unified. Such ideological dampening should be greatest when the author is t</w:t>
      </w:r>
      <w:r w:rsidR="0074799E">
        <w:rPr>
          <w:rFonts w:ascii="Times New Roman" w:hAnsi="Times New Roman" w:cs="Times New Roman"/>
          <w:sz w:val="24"/>
          <w:szCs w:val="24"/>
        </w:rPr>
        <w:t xml:space="preserve">he </w:t>
      </w:r>
      <w:proofErr w:type="spellStart"/>
      <w:r w:rsidR="0074799E">
        <w:rPr>
          <w:rFonts w:ascii="Times New Roman" w:hAnsi="Times New Roman" w:cs="Times New Roman"/>
          <w:sz w:val="24"/>
          <w:szCs w:val="24"/>
        </w:rPr>
        <w:t>counterjudge</w:t>
      </w:r>
      <w:proofErr w:type="spellEnd"/>
      <w:r w:rsidRPr="00624B31">
        <w:rPr>
          <w:rFonts w:ascii="Times New Roman" w:hAnsi="Times New Roman" w:cs="Times New Roman"/>
          <w:sz w:val="24"/>
          <w:szCs w:val="24"/>
        </w:rPr>
        <w:t xml:space="preserve"> because such a judge will be concerned about shaping an opinion amenable to two ideologically distant colleagues. A majority judge writing for a split panel will only have to accommodate the preferences of one such colleague. In short, if the way an author crafts an opinion is influenced by panel composition, each additional panel member from a different party than the author should increasingly dampen the impact of the author’s ideology. A judge writing to convince an ideologically distant panel member (or two) may not have the luxury of narrowing or ignoring those precedents located farther away from herself.</w:t>
      </w:r>
    </w:p>
    <w:p w:rsidR="000C1EC5" w:rsidRPr="00624B31" w:rsidRDefault="00B90DEA" w:rsidP="006400FB">
      <w:pPr>
        <w:pStyle w:val="Bodytext50"/>
        <w:shd w:val="clear" w:color="auto" w:fill="auto"/>
        <w:spacing w:before="0" w:after="0" w:line="480" w:lineRule="auto"/>
        <w:ind w:left="640" w:right="600" w:hanging="10"/>
        <w:rPr>
          <w:rFonts w:ascii="Times New Roman" w:hAnsi="Times New Roman" w:cs="Times New Roman"/>
          <w:sz w:val="24"/>
          <w:szCs w:val="24"/>
        </w:rPr>
      </w:pPr>
      <w:r w:rsidRPr="00DD04E3">
        <w:rPr>
          <w:rStyle w:val="Bodytext5115pt"/>
          <w:rFonts w:ascii="Times New Roman" w:hAnsi="Times New Roman" w:cs="Times New Roman"/>
          <w:i/>
          <w:iCs/>
          <w:sz w:val="24"/>
          <w:szCs w:val="24"/>
        </w:rPr>
        <w:t xml:space="preserve">Hypothesis 1: </w:t>
      </w:r>
      <w:r w:rsidRPr="00DD04E3">
        <w:rPr>
          <w:rFonts w:ascii="Times New Roman" w:hAnsi="Times New Roman" w:cs="Times New Roman"/>
          <w:sz w:val="24"/>
          <w:szCs w:val="24"/>
        </w:rPr>
        <w:t>The effect of an author’s ideology on negative</w:t>
      </w:r>
      <w:r w:rsidRPr="00624B31">
        <w:rPr>
          <w:rFonts w:ascii="Times New Roman" w:hAnsi="Times New Roman" w:cs="Times New Roman"/>
          <w:sz w:val="24"/>
          <w:szCs w:val="24"/>
        </w:rPr>
        <w:t xml:space="preserve"> treatment and citation decisions will have the largest magnitude when sitting on a unified panel and smallest when writing as a counterjudge.</w:t>
      </w:r>
    </w:p>
    <w:p w:rsidR="000C1EC5" w:rsidRPr="00624B31" w:rsidRDefault="00B90DEA" w:rsidP="006400FB">
      <w:pPr>
        <w:pStyle w:val="Bodytext20"/>
        <w:shd w:val="clear" w:color="auto" w:fill="auto"/>
        <w:spacing w:before="0" w:line="480" w:lineRule="auto"/>
        <w:ind w:firstLine="389"/>
        <w:rPr>
          <w:rFonts w:ascii="Times New Roman" w:hAnsi="Times New Roman" w:cs="Times New Roman"/>
          <w:sz w:val="24"/>
          <w:szCs w:val="24"/>
        </w:rPr>
      </w:pPr>
      <w:r w:rsidRPr="00624B31">
        <w:rPr>
          <w:rFonts w:ascii="Times New Roman" w:hAnsi="Times New Roman" w:cs="Times New Roman"/>
          <w:sz w:val="24"/>
          <w:szCs w:val="24"/>
        </w:rPr>
        <w:t xml:space="preserve">Panel effects on opinion crafting could take other forms in addition to ideological dampening. An author’s </w:t>
      </w:r>
      <w:r w:rsidRPr="00DD04E3">
        <w:rPr>
          <w:rFonts w:ascii="Times New Roman" w:hAnsi="Times New Roman" w:cs="Times New Roman"/>
          <w:sz w:val="24"/>
          <w:szCs w:val="24"/>
        </w:rPr>
        <w:t>deference to his panel colleagues may emerge on a personal level. Even after accounting for other factors, an author may be more deferential towards the precedents written by one of the other panel members. Evidence that an author is less likely to negatively treat, or more likely to cite, such a precedent would indicate that the identity of the non-authoring judges on a panel can influence the contents of the opinion. Like ideological dampening, such a pattern may emerge as a result of either accommodation or anticipation. First, a non-author</w:t>
      </w:r>
      <w:r w:rsidRPr="00624B31">
        <w:rPr>
          <w:rFonts w:ascii="Times New Roman" w:hAnsi="Times New Roman" w:cs="Times New Roman"/>
          <w:sz w:val="24"/>
          <w:szCs w:val="24"/>
        </w:rPr>
        <w:t xml:space="preserve"> might be more likely to ask for inclusion of a precedent she wrote. Second, the author might initially seek out precedents written by non-authors anticipating that they will both have more information about such precedents and care more about whether they are discussed. Similarly, an author may choose to ignore rather than negatively treat an ideologically distant precedent written by a fellow panel member. As a result, authors may tend to produce opinions that are disproportionately deferential towards the precedents written by their fellow panel members.</w:t>
      </w:r>
    </w:p>
    <w:p w:rsidR="000C1EC5" w:rsidRPr="00624B31" w:rsidRDefault="000C1EC5" w:rsidP="006400FB">
      <w:pPr>
        <w:widowControl/>
        <w:spacing w:line="480" w:lineRule="auto"/>
        <w:ind w:left="720" w:right="720"/>
        <w:rPr>
          <w:rStyle w:val="Bodytext5115pt"/>
        </w:rPr>
      </w:pPr>
      <w:r w:rsidRPr="000C1EC5">
        <w:rPr>
          <w:rFonts w:ascii="Times New Roman" w:hAnsi="Times New Roman" w:cs="Times New Roman"/>
          <w:b/>
          <w:i/>
          <w:color w:val="auto"/>
          <w:lang w:bidi="ar-SA"/>
        </w:rPr>
        <w:t>Hypothesis 2:</w:t>
      </w:r>
      <w:r w:rsidRPr="000C1EC5">
        <w:rPr>
          <w:rFonts w:ascii="Times New Roman" w:hAnsi="Times New Roman" w:cs="Times New Roman"/>
          <w:color w:val="auto"/>
          <w:lang w:bidi="ar-SA"/>
        </w:rPr>
        <w:t xml:space="preserve"> </w:t>
      </w:r>
      <w:r w:rsidRPr="000C1EC5">
        <w:rPr>
          <w:rFonts w:ascii="Times New Roman" w:hAnsi="Times New Roman" w:cs="Times New Roman"/>
          <w:i/>
          <w:color w:val="auto"/>
          <w:lang w:bidi="ar-SA"/>
        </w:rPr>
        <w:t>An author will be less likely to negatively treat, and more likely to</w:t>
      </w:r>
      <w:r w:rsidRPr="00624B31">
        <w:rPr>
          <w:rFonts w:ascii="Times New Roman" w:hAnsi="Times New Roman" w:cs="Times New Roman"/>
          <w:i/>
          <w:color w:val="auto"/>
          <w:lang w:bidi="ar-SA"/>
        </w:rPr>
        <w:t xml:space="preserve"> </w:t>
      </w:r>
      <w:r w:rsidRPr="000C1EC5">
        <w:rPr>
          <w:rFonts w:ascii="Times New Roman" w:hAnsi="Times New Roman" w:cs="Times New Roman"/>
          <w:i/>
          <w:color w:val="auto"/>
          <w:lang w:bidi="ar-SA"/>
        </w:rPr>
        <w:t>cite, a precedent written by a non-authoring judge on the panel than one written</w:t>
      </w:r>
      <w:r w:rsidRPr="00624B31">
        <w:rPr>
          <w:rFonts w:ascii="Times New Roman" w:hAnsi="Times New Roman" w:cs="Times New Roman"/>
          <w:i/>
          <w:color w:val="auto"/>
          <w:lang w:bidi="ar-SA"/>
        </w:rPr>
        <w:t xml:space="preserve"> </w:t>
      </w:r>
      <w:r w:rsidRPr="000C1EC5">
        <w:rPr>
          <w:rFonts w:ascii="Times New Roman" w:hAnsi="Times New Roman" w:cs="Times New Roman"/>
          <w:i/>
          <w:color w:val="auto"/>
          <w:lang w:bidi="ar-SA"/>
        </w:rPr>
        <w:t>by a non-panel judge.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Analyzing the impact of non-authors on opinion content requires controlling for other factors that influence decisions about precedent that </w:t>
      </w:r>
      <w:r w:rsidRPr="00DD04E3">
        <w:rPr>
          <w:rFonts w:ascii="Times New Roman" w:hAnsi="Times New Roman" w:cs="Times New Roman"/>
          <w:sz w:val="24"/>
          <w:szCs w:val="24"/>
        </w:rPr>
        <w:t>may also be correlated with either author ideology or panel type. As discussed above, authors seek to maximize efficiency</w:t>
      </w:r>
      <w:r w:rsidRPr="00624B31">
        <w:rPr>
          <w:rFonts w:ascii="Times New Roman" w:hAnsi="Times New Roman" w:cs="Times New Roman"/>
          <w:sz w:val="24"/>
          <w:szCs w:val="24"/>
        </w:rPr>
        <w:t xml:space="preserve"> when crafting an opinion. One way to increase efficiency is to rely on precedents with which the author is already familiar. A judge will be most familiar with those precedents she actually wrote, making citation more likely. Another goal is the pursuit of reputational benefits, which makes negative treatment of a precedent written by the author less likely. Finally, efficiency concerns may result in busier judges in circuits with higher caseloads ignoring more precedents due to the increased time pressures they face.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A number of features of a precedent reflect its strength in terms of legal doctrine. Judges may seek to employ stronger legal </w:t>
      </w:r>
      <w:r w:rsidRPr="00DD04E3">
        <w:rPr>
          <w:rFonts w:ascii="Times New Roman" w:hAnsi="Times New Roman" w:cs="Times New Roman"/>
          <w:sz w:val="24"/>
          <w:szCs w:val="24"/>
        </w:rPr>
        <w:t xml:space="preserve">precedents to pursue a variety of goals; building professional reputation, increasing persuasiveness, preserving legitimacy of the legal system, disposing of cases efficiently, or fulfilling their perception of the appropriate judicial role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2006; Posner, 2011). While I do not disentangle these goals, I do</w:t>
      </w:r>
      <w:r w:rsidRPr="00624B31">
        <w:rPr>
          <w:rFonts w:ascii="Times New Roman" w:hAnsi="Times New Roman" w:cs="Times New Roman"/>
          <w:sz w:val="24"/>
          <w:szCs w:val="24"/>
        </w:rPr>
        <w:t xml:space="preserve"> control for a variety of features of a precedent that legal doctrine suggest are applicable. Central to the process of analogical reasoning is the proposition that judges should apply relevant precedents (</w:t>
      </w:r>
      <w:proofErr w:type="spellStart"/>
      <w:r w:rsidRPr="00624B31">
        <w:rPr>
          <w:rFonts w:ascii="Times New Roman" w:hAnsi="Times New Roman" w:cs="Times New Roman"/>
          <w:sz w:val="24"/>
          <w:szCs w:val="24"/>
        </w:rPr>
        <w:t>Aldisert</w:t>
      </w:r>
      <w:proofErr w:type="spellEnd"/>
      <w:r w:rsidRPr="00624B31">
        <w:rPr>
          <w:rFonts w:ascii="Times New Roman" w:hAnsi="Times New Roman" w:cs="Times New Roman"/>
          <w:sz w:val="24"/>
          <w:szCs w:val="24"/>
        </w:rPr>
        <w:t xml:space="preserve">, 1989; </w:t>
      </w:r>
      <w:proofErr w:type="spellStart"/>
      <w:r w:rsidRPr="00624B31">
        <w:rPr>
          <w:rFonts w:ascii="Times New Roman" w:hAnsi="Times New Roman" w:cs="Times New Roman"/>
          <w:sz w:val="24"/>
          <w:szCs w:val="24"/>
        </w:rPr>
        <w:t>Schauer</w:t>
      </w:r>
      <w:proofErr w:type="spellEnd"/>
      <w:r w:rsidRPr="00624B31">
        <w:rPr>
          <w:rFonts w:ascii="Times New Roman" w:hAnsi="Times New Roman" w:cs="Times New Roman"/>
          <w:sz w:val="24"/>
          <w:szCs w:val="24"/>
        </w:rPr>
        <w:t>, 1987). Precedents that are more similar to the panel opinion should also be more legally relevant (Hinkle, 2016, 2015</w:t>
      </w:r>
      <w:r w:rsidRPr="00DD04E3">
        <w:rPr>
          <w:rFonts w:ascii="Times New Roman" w:hAnsi="Times New Roman" w:cs="Times New Roman"/>
          <w:sz w:val="24"/>
          <w:szCs w:val="24"/>
        </w:rPr>
        <w:t>).</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In addition to relevance, several other characteristics of a precedent indicate its doctrinal strength. Precedents accompanied by a dissenting opinion </w:t>
      </w:r>
      <w:r w:rsidRPr="00DD04E3">
        <w:rPr>
          <w:rFonts w:ascii="Times New Roman" w:hAnsi="Times New Roman" w:cs="Times New Roman"/>
          <w:sz w:val="24"/>
          <w:szCs w:val="24"/>
        </w:rPr>
        <w:t>provide a less firm foundation since an alternate legal viewpoint is explicitly recorded (Johnson, 1979; Posner, 2008). Precedents resolved per curiam reflect the judgment that the case is not particularly important (Hinkle, 2015; Hume, 2009). Conversely, en banc precedents are unusually strong since</w:t>
      </w:r>
      <w:r w:rsidR="00560638" w:rsidRPr="00DD04E3">
        <w:rPr>
          <w:rFonts w:ascii="Times New Roman" w:hAnsi="Times New Roman" w:cs="Times New Roman"/>
          <w:sz w:val="24"/>
          <w:szCs w:val="24"/>
        </w:rPr>
        <w:t xml:space="preserve"> </w:t>
      </w:r>
      <w:r w:rsidRPr="00DD04E3">
        <w:rPr>
          <w:rFonts w:ascii="Times New Roman" w:hAnsi="Times New Roman" w:cs="Times New Roman"/>
          <w:sz w:val="24"/>
          <w:szCs w:val="24"/>
        </w:rPr>
        <w:t>circuits only review the most important cases en banc, and such rulings benefit from the combined wisdom of a larger number of judges (Hume, 2009). A longer precedent may indicate mo</w:t>
      </w:r>
      <w:r w:rsidRPr="00624B31">
        <w:rPr>
          <w:rFonts w:ascii="Times New Roman" w:hAnsi="Times New Roman" w:cs="Times New Roman"/>
          <w:sz w:val="24"/>
          <w:szCs w:val="24"/>
        </w:rPr>
        <w:t xml:space="preserve">re thorough and detailed legal analysis, or it may simply cover a wider array of legal topics. Whether precedent length reflects quality or complexity (and, therefore, applicability to a wider range of subsequent cases) it should be correlated with a higher probability of citation (Black and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2008; Hinkle, 2016).</w:t>
      </w:r>
    </w:p>
    <w:p w:rsidR="00C95181" w:rsidRPr="00624B31" w:rsidRDefault="00B90DEA" w:rsidP="006400FB">
      <w:pPr>
        <w:pStyle w:val="Bodytext20"/>
        <w:shd w:val="clear" w:color="auto" w:fill="auto"/>
        <w:spacing w:before="0" w:line="480" w:lineRule="auto"/>
        <w:ind w:firstLine="394"/>
        <w:rPr>
          <w:rFonts w:ascii="Times New Roman" w:hAnsi="Times New Roman" w:cs="Times New Roman"/>
          <w:sz w:val="24"/>
          <w:szCs w:val="24"/>
        </w:rPr>
      </w:pPr>
      <w:r w:rsidRPr="00624B31">
        <w:rPr>
          <w:rFonts w:ascii="Times New Roman" w:hAnsi="Times New Roman" w:cs="Times New Roman"/>
          <w:sz w:val="24"/>
          <w:szCs w:val="24"/>
        </w:rPr>
        <w:t xml:space="preserve">Over time the strength of each precedent </w:t>
      </w:r>
      <w:r w:rsidRPr="00DD04E3">
        <w:rPr>
          <w:rFonts w:ascii="Times New Roman" w:hAnsi="Times New Roman" w:cs="Times New Roman"/>
          <w:sz w:val="24"/>
          <w:szCs w:val="24"/>
        </w:rPr>
        <w:t xml:space="preserve">changes as well (Black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2013; Gerhardt, 2008). This is due to the simple passage of time as well as the impact of subsequent cases that cite or treat a precedent. As a result, it is important to consider the age of a precedent and its legal strength at the time it is considered for inclusion in an opinion. The vitality of a precedent summarizes how its scope has been expanded or narrowed by subtracting the number of negative treatments of a precedent from the number of times it has been positively treated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2006). The overall number of times a precedent has been cited and treated also reflects its strength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2006). These dynamic variables</w:t>
      </w:r>
      <w:r w:rsidRPr="00624B31">
        <w:rPr>
          <w:rFonts w:ascii="Times New Roman" w:hAnsi="Times New Roman" w:cs="Times New Roman"/>
          <w:sz w:val="24"/>
          <w:szCs w:val="24"/>
        </w:rPr>
        <w:t xml:space="preserve"> help account for path dependency that can occur in citation practices. Cases that are cited more frequently tend to pick up momentum in terms of future cites not only because of efficiency concerns, but also because each repeated use of a precedent contributes to its strength as a legal precedent. </w:t>
      </w:r>
      <w:r w:rsidRPr="00DD04E3">
        <w:rPr>
          <w:rFonts w:ascii="Times New Roman" w:hAnsi="Times New Roman" w:cs="Times New Roman"/>
          <w:sz w:val="24"/>
          <w:szCs w:val="24"/>
        </w:rPr>
        <w:t>In fact, these</w:t>
      </w:r>
      <w:r w:rsidRPr="00624B31">
        <w:rPr>
          <w:rFonts w:ascii="Times New Roman" w:hAnsi="Times New Roman" w:cs="Times New Roman"/>
          <w:sz w:val="24"/>
          <w:szCs w:val="24"/>
        </w:rPr>
        <w:t xml:space="preserve"> patterns are precisely why it is important to examine whether panel effects impact how precedents are used.</w:t>
      </w:r>
    </w:p>
    <w:p w:rsidR="00C95181" w:rsidRPr="00624B31" w:rsidRDefault="00B90DEA" w:rsidP="006400FB">
      <w:pPr>
        <w:pStyle w:val="Bodytext20"/>
        <w:shd w:val="clear" w:color="auto" w:fill="auto"/>
        <w:spacing w:before="0" w:line="480" w:lineRule="auto"/>
        <w:ind w:firstLine="394"/>
        <w:rPr>
          <w:rFonts w:ascii="Times New Roman" w:hAnsi="Times New Roman" w:cs="Times New Roman"/>
          <w:sz w:val="24"/>
          <w:szCs w:val="24"/>
        </w:rPr>
      </w:pPr>
      <w:r w:rsidRPr="00624B31">
        <w:rPr>
          <w:rFonts w:ascii="Times New Roman" w:hAnsi="Times New Roman" w:cs="Times New Roman"/>
          <w:sz w:val="24"/>
          <w:szCs w:val="24"/>
        </w:rPr>
        <w:t>Other features of the context within which the author makes citation decisions may also be relevant. Both the length of the opinion itself and the number of precedents available to choose from are important. A longer opinion can discuss more cases than a shorter opinion. Conversely, a larger available choice set gives the author more choices which makes it less likely overall that any given precedent will be addressed.</w:t>
      </w:r>
    </w:p>
    <w:p w:rsidR="00DC67BD" w:rsidRPr="00624B31" w:rsidRDefault="00DC67BD" w:rsidP="006400FB">
      <w:pPr>
        <w:pStyle w:val="Bodytext70"/>
        <w:shd w:val="clear" w:color="auto" w:fill="auto"/>
        <w:spacing w:before="0" w:line="480" w:lineRule="auto"/>
        <w:jc w:val="left"/>
        <w:rPr>
          <w:rFonts w:ascii="Times New Roman" w:hAnsi="Times New Roman" w:cs="Times New Roman"/>
          <w:spacing w:val="0"/>
          <w:sz w:val="24"/>
          <w:szCs w:val="24"/>
        </w:rPr>
      </w:pPr>
      <w:bookmarkStart w:id="3" w:name="bookmark5"/>
    </w:p>
    <w:bookmarkEnd w:id="3"/>
    <w:p w:rsidR="00DC67BD" w:rsidRPr="00624B31" w:rsidRDefault="00DC67BD" w:rsidP="006400FB">
      <w:pPr>
        <w:pStyle w:val="Bodytext20"/>
        <w:shd w:val="clear" w:color="auto" w:fill="auto"/>
        <w:spacing w:before="0" w:line="480" w:lineRule="auto"/>
        <w:ind w:firstLine="31"/>
        <w:rPr>
          <w:rFonts w:ascii="Times New Roman" w:hAnsi="Times New Roman" w:cs="Times New Roman"/>
          <w:b/>
          <w:sz w:val="24"/>
          <w:szCs w:val="24"/>
        </w:rPr>
      </w:pPr>
      <w:r w:rsidRPr="00624B31">
        <w:rPr>
          <w:rFonts w:ascii="Times New Roman" w:hAnsi="Times New Roman" w:cs="Times New Roman"/>
          <w:b/>
          <w:sz w:val="24"/>
          <w:szCs w:val="24"/>
        </w:rPr>
        <w:t>Data and Research Design</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Studying judges’ decisions </w:t>
      </w:r>
      <w:r w:rsidRPr="00DD04E3">
        <w:rPr>
          <w:rFonts w:ascii="Times New Roman" w:hAnsi="Times New Roman" w:cs="Times New Roman"/>
          <w:sz w:val="24"/>
          <w:szCs w:val="24"/>
        </w:rPr>
        <w:t>regarding whether and how precedents are used requires identification of both a set of treatment cases</w:t>
      </w:r>
      <w:r w:rsidRPr="00DD04E3">
        <w:rPr>
          <w:rFonts w:ascii="Times New Roman" w:hAnsi="Times New Roman" w:cs="Times New Roman"/>
          <w:sz w:val="24"/>
          <w:szCs w:val="24"/>
          <w:vertAlign w:val="superscript"/>
        </w:rPr>
        <w:footnoteReference w:id="4"/>
      </w:r>
      <w:r w:rsidRPr="00DD04E3">
        <w:rPr>
          <w:rFonts w:ascii="Times New Roman" w:hAnsi="Times New Roman" w:cs="Times New Roman"/>
          <w:sz w:val="24"/>
          <w:szCs w:val="24"/>
        </w:rPr>
        <w:t xml:space="preserve"> to study, and the relevant choice set of potentially applicable precedents that a judge may choose to treat negatively, ignore, or cite (</w:t>
      </w:r>
      <w:r w:rsidR="006A7E78">
        <w:rPr>
          <w:rFonts w:ascii="Times New Roman" w:hAnsi="Times New Roman" w:cs="Times New Roman"/>
          <w:sz w:val="24"/>
          <w:szCs w:val="24"/>
        </w:rPr>
        <w:t xml:space="preserve">Hansford and </w:t>
      </w:r>
      <w:proofErr w:type="spellStart"/>
      <w:r w:rsidR="006A7E78">
        <w:rPr>
          <w:rFonts w:ascii="Times New Roman" w:hAnsi="Times New Roman" w:cs="Times New Roman"/>
          <w:sz w:val="24"/>
          <w:szCs w:val="24"/>
        </w:rPr>
        <w:t>Spriggs</w:t>
      </w:r>
      <w:proofErr w:type="spellEnd"/>
      <w:r w:rsidR="006A7E78">
        <w:rPr>
          <w:rFonts w:ascii="Times New Roman" w:hAnsi="Times New Roman" w:cs="Times New Roman"/>
          <w:sz w:val="24"/>
          <w:szCs w:val="24"/>
        </w:rPr>
        <w:t xml:space="preserve">, 2006; </w:t>
      </w:r>
      <w:proofErr w:type="spellStart"/>
      <w:r w:rsidRPr="00DD04E3">
        <w:rPr>
          <w:rFonts w:ascii="Times New Roman" w:hAnsi="Times New Roman" w:cs="Times New Roman"/>
          <w:sz w:val="24"/>
          <w:szCs w:val="24"/>
        </w:rPr>
        <w:t>Niblett</w:t>
      </w:r>
      <w:proofErr w:type="spellEnd"/>
      <w:r w:rsidRPr="00DD04E3">
        <w:rPr>
          <w:rFonts w:ascii="Times New Roman" w:hAnsi="Times New Roman" w:cs="Times New Roman"/>
          <w:sz w:val="24"/>
          <w:szCs w:val="24"/>
        </w:rPr>
        <w:t>, 2010). Consequently, this study focuses on a subset of cases in one particular issue area: Fourth Amendment search and seizure law. This topic incorporates a discrete set of legal issues that are routinely raised in litigation. I identify relevant cases by locating all cases that cite the Fourth Amendment of the United States Constitution. Using Lexis, I collected every such published</w:t>
      </w:r>
      <w:r w:rsidRPr="00DD04E3">
        <w:rPr>
          <w:rFonts w:ascii="Times New Roman" w:hAnsi="Times New Roman" w:cs="Times New Roman"/>
          <w:sz w:val="24"/>
          <w:szCs w:val="24"/>
          <w:vertAlign w:val="superscript"/>
        </w:rPr>
        <w:footnoteReference w:id="5"/>
      </w:r>
      <w:r w:rsidRPr="00624B31">
        <w:rPr>
          <w:rFonts w:ascii="Times New Roman" w:hAnsi="Times New Roman" w:cs="Times New Roman"/>
          <w:sz w:val="24"/>
          <w:szCs w:val="24"/>
        </w:rPr>
        <w:t xml:space="preserve"> circuit case from 1953 to </w:t>
      </w:r>
      <w:r w:rsidRPr="00DD04E3">
        <w:rPr>
          <w:rFonts w:ascii="Times New Roman" w:hAnsi="Times New Roman" w:cs="Times New Roman"/>
          <w:sz w:val="24"/>
          <w:szCs w:val="24"/>
        </w:rPr>
        <w:t>2010.</w:t>
      </w:r>
      <w:r w:rsidRPr="00DD04E3">
        <w:rPr>
          <w:rFonts w:ascii="Times New Roman" w:hAnsi="Times New Roman" w:cs="Times New Roman"/>
          <w:sz w:val="24"/>
          <w:szCs w:val="24"/>
          <w:vertAlign w:val="superscript"/>
        </w:rPr>
        <w:footnoteReference w:id="6"/>
      </w:r>
      <w:r w:rsidRPr="00DD04E3">
        <w:rPr>
          <w:rFonts w:ascii="Times New Roman" w:hAnsi="Times New Roman" w:cs="Times New Roman"/>
          <w:sz w:val="24"/>
          <w:szCs w:val="24"/>
        </w:rPr>
        <w:t xml:space="preserve"> After excluding all opinions that do not address the merits or do not contain the word “search” or the word stem “</w:t>
      </w:r>
      <w:proofErr w:type="spellStart"/>
      <w:r w:rsidRPr="00DD04E3">
        <w:rPr>
          <w:rFonts w:ascii="Times New Roman" w:hAnsi="Times New Roman" w:cs="Times New Roman"/>
          <w:sz w:val="24"/>
          <w:szCs w:val="24"/>
        </w:rPr>
        <w:t>s</w:t>
      </w:r>
      <w:r w:rsidR="00321D06" w:rsidRPr="00DD04E3">
        <w:rPr>
          <w:rFonts w:ascii="Times New Roman" w:hAnsi="Times New Roman" w:cs="Times New Roman"/>
          <w:sz w:val="24"/>
          <w:szCs w:val="24"/>
        </w:rPr>
        <w:t>e</w:t>
      </w:r>
      <w:r w:rsidRPr="00DD04E3">
        <w:rPr>
          <w:rFonts w:ascii="Times New Roman" w:hAnsi="Times New Roman" w:cs="Times New Roman"/>
          <w:sz w:val="24"/>
          <w:szCs w:val="24"/>
        </w:rPr>
        <w:t>iz</w:t>
      </w:r>
      <w:proofErr w:type="spellEnd"/>
      <w:r w:rsidRPr="00DD04E3">
        <w:rPr>
          <w:rFonts w:ascii="Times New Roman" w:hAnsi="Times New Roman" w:cs="Times New Roman"/>
          <w:sz w:val="24"/>
          <w:szCs w:val="24"/>
        </w:rPr>
        <w:t>*” at least</w:t>
      </w:r>
      <w:r w:rsidRPr="00624B31">
        <w:rPr>
          <w:rFonts w:ascii="Times New Roman" w:hAnsi="Times New Roman" w:cs="Times New Roman"/>
          <w:sz w:val="24"/>
          <w:szCs w:val="24"/>
        </w:rPr>
        <w:t xml:space="preserve"> once, the resulting dataset contains 12,792 cases.</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The </w:t>
      </w:r>
      <w:r w:rsidRPr="00DD04E3">
        <w:rPr>
          <w:rFonts w:ascii="Times New Roman" w:hAnsi="Times New Roman" w:cs="Times New Roman"/>
          <w:sz w:val="24"/>
          <w:szCs w:val="24"/>
        </w:rPr>
        <w:t>empirical analysis evaluates citation patterns in authored panel opinions from 1990 to 2010 (n=6,693).</w:t>
      </w:r>
      <w:r w:rsidRPr="00DD04E3">
        <w:rPr>
          <w:rFonts w:ascii="Times New Roman" w:hAnsi="Times New Roman" w:cs="Times New Roman"/>
          <w:sz w:val="24"/>
          <w:szCs w:val="24"/>
          <w:vertAlign w:val="superscript"/>
        </w:rPr>
        <w:footnoteReference w:id="7"/>
      </w:r>
      <w:r w:rsidRPr="00DD04E3">
        <w:rPr>
          <w:rFonts w:ascii="Times New Roman" w:hAnsi="Times New Roman" w:cs="Times New Roman"/>
          <w:sz w:val="24"/>
          <w:szCs w:val="24"/>
        </w:rPr>
        <w:t xml:space="preserve"> Figure 1 illustrates the distribution of different panel types within each circuit. With the exception of the Seventh Circuit (where unified panels are most common), the modal panel type is a split panel with the opinion authored by a member of the panel majority. The cases in the dataset from 1953 to 1989 and all en banc and per curiam cases are used only as precedents that may be cited. Since non-author panel members are most likely</w:t>
      </w:r>
      <w:r w:rsidR="003B57DA" w:rsidRPr="00DD04E3">
        <w:rPr>
          <w:rFonts w:ascii="Times New Roman" w:hAnsi="Times New Roman" w:cs="Times New Roman"/>
          <w:sz w:val="24"/>
          <w:szCs w:val="24"/>
        </w:rPr>
        <w:t xml:space="preserve"> </w:t>
      </w:r>
      <w:r w:rsidRPr="00DD04E3">
        <w:rPr>
          <w:rFonts w:ascii="Times New Roman" w:hAnsi="Times New Roman" w:cs="Times New Roman"/>
          <w:sz w:val="24"/>
          <w:szCs w:val="24"/>
        </w:rPr>
        <w:t>to police the use of binding precedent, I examine</w:t>
      </w:r>
      <w:r w:rsidRPr="00624B31">
        <w:rPr>
          <w:rFonts w:ascii="Times New Roman" w:hAnsi="Times New Roman" w:cs="Times New Roman"/>
          <w:sz w:val="24"/>
          <w:szCs w:val="24"/>
        </w:rPr>
        <w:t xml:space="preserve"> the use of published in-circuit precedents. This focus, although seemingly narrow, encompasses a wide swath of all citations. There is evidence that nearly half of all citations in circuit court briefs and opinions refer to published </w:t>
      </w:r>
      <w:proofErr w:type="spellStart"/>
      <w:r w:rsidRPr="00624B31">
        <w:rPr>
          <w:rFonts w:ascii="Times New Roman" w:hAnsi="Times New Roman" w:cs="Times New Roman"/>
          <w:sz w:val="24"/>
          <w:szCs w:val="24"/>
        </w:rPr>
        <w:t>caselaw</w:t>
      </w:r>
      <w:proofErr w:type="spellEnd"/>
      <w:r w:rsidRPr="00624B31">
        <w:rPr>
          <w:rFonts w:ascii="Times New Roman" w:hAnsi="Times New Roman" w:cs="Times New Roman"/>
          <w:sz w:val="24"/>
          <w:szCs w:val="24"/>
        </w:rPr>
        <w:t xml:space="preserve"> from the same circuit (Reagan, 2006).</w:t>
      </w:r>
    </w:p>
    <w:p w:rsidR="005A1F54" w:rsidRPr="00624B31" w:rsidRDefault="005A1F54"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[Figure 1 about here.]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For each treatment case, the choice set potentially includes every precedent from its own circuit from 1953 up to the day before the opinion in the treatment case </w:t>
      </w:r>
      <w:r w:rsidRPr="00DD04E3">
        <w:rPr>
          <w:rFonts w:ascii="Times New Roman" w:hAnsi="Times New Roman" w:cs="Times New Roman"/>
          <w:sz w:val="24"/>
          <w:szCs w:val="24"/>
        </w:rPr>
        <w:t>was issued.</w:t>
      </w:r>
      <w:r w:rsidRPr="00DD04E3">
        <w:rPr>
          <w:rFonts w:ascii="Times New Roman" w:hAnsi="Times New Roman" w:cs="Times New Roman"/>
          <w:sz w:val="24"/>
          <w:szCs w:val="24"/>
          <w:vertAlign w:val="superscript"/>
        </w:rPr>
        <w:footnoteReference w:id="8"/>
      </w:r>
      <w:r w:rsidRPr="00DD04E3">
        <w:rPr>
          <w:rFonts w:ascii="Times New Roman" w:hAnsi="Times New Roman" w:cs="Times New Roman"/>
          <w:sz w:val="24"/>
          <w:szCs w:val="24"/>
          <w:vertAlign w:val="superscript"/>
        </w:rPr>
        <w:t xml:space="preserve"> </w:t>
      </w:r>
      <w:r w:rsidR="00F23CE0" w:rsidRPr="00DD04E3">
        <w:rPr>
          <w:rFonts w:ascii="Times New Roman" w:hAnsi="Times New Roman" w:cs="Times New Roman"/>
          <w:sz w:val="24"/>
          <w:szCs w:val="24"/>
          <w:vertAlign w:val="superscript"/>
        </w:rPr>
        <w:t xml:space="preserve"> </w:t>
      </w:r>
      <w:r w:rsidRPr="00DD04E3">
        <w:rPr>
          <w:rFonts w:ascii="Times New Roman" w:hAnsi="Times New Roman" w:cs="Times New Roman"/>
          <w:sz w:val="24"/>
          <w:szCs w:val="24"/>
        </w:rPr>
        <w:t>However</w:t>
      </w:r>
      <w:r w:rsidRPr="00624B31">
        <w:rPr>
          <w:rFonts w:ascii="Times New Roman" w:hAnsi="Times New Roman" w:cs="Times New Roman"/>
          <w:sz w:val="24"/>
          <w:szCs w:val="24"/>
        </w:rPr>
        <w:t xml:space="preserve">, many of these precedents do not bear any relevance to the treatment case in spite of being within the </w:t>
      </w:r>
      <w:r w:rsidRPr="00DD04E3">
        <w:rPr>
          <w:rFonts w:ascii="Times New Roman" w:hAnsi="Times New Roman" w:cs="Times New Roman"/>
          <w:sz w:val="24"/>
          <w:szCs w:val="24"/>
        </w:rPr>
        <w:t>same broad issue area. In order to narrow down the choice set in a</w:t>
      </w:r>
      <w:r w:rsidR="00561DC6" w:rsidRPr="00DD04E3">
        <w:rPr>
          <w:rFonts w:ascii="Times New Roman" w:hAnsi="Times New Roman" w:cs="Times New Roman"/>
          <w:sz w:val="24"/>
          <w:szCs w:val="24"/>
        </w:rPr>
        <w:t xml:space="preserve"> </w:t>
      </w:r>
      <w:r w:rsidRPr="00DD04E3">
        <w:rPr>
          <w:rFonts w:ascii="Times New Roman" w:hAnsi="Times New Roman" w:cs="Times New Roman"/>
          <w:sz w:val="24"/>
          <w:szCs w:val="24"/>
        </w:rPr>
        <w:t>practicable and objective manner, I follow the approach introduced in (Hinkle, 2015) and utilize cosine similarity scores to generate a similarity percentile measure that ranks every potential precedent in terms of its similarity to a particular treatment case (relative to all the other precedents in the choice set for that treatment case). This</w:t>
      </w:r>
      <w:r w:rsidRPr="00624B31">
        <w:rPr>
          <w:rFonts w:ascii="Times New Roman" w:hAnsi="Times New Roman" w:cs="Times New Roman"/>
          <w:sz w:val="24"/>
          <w:szCs w:val="24"/>
        </w:rPr>
        <w:t xml:space="preserve"> approach leverages the text of two opinions to calculate how similar they are as well as contextualizing that similarity in relationship to other precedents available at a particular time in a particular circuit.</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The unit of analysis is a treatment case-precedent pair. There is an observation for each pair between a treatment case and every precedent in the top 50% of the similarity ranking for that particular treatment case. While setting any threshold is necessarily somewhat arbitrary, including the top half most similar precedents in the analysis has the benefit that it includes 99% of all negative treatments and 94% of all citations. This demonstrates that using a precedent in the bottom half of the </w:t>
      </w:r>
      <w:r w:rsidRPr="00DD04E3">
        <w:rPr>
          <w:rFonts w:ascii="Times New Roman" w:hAnsi="Times New Roman" w:cs="Times New Roman"/>
          <w:sz w:val="24"/>
          <w:szCs w:val="24"/>
        </w:rPr>
        <w:t xml:space="preserve">similarity ranking is remarkably rare. The decision of whether to negatively treat, ignore, or cite a precedent in the top half of the choice set is modeled using a multinomial logit model. </w:t>
      </w:r>
      <w:r w:rsidR="00C45B6D" w:rsidRPr="00DD04E3">
        <w:rPr>
          <w:rFonts w:ascii="Times New Roman" w:hAnsi="Times New Roman" w:cs="Times New Roman"/>
          <w:sz w:val="24"/>
          <w:szCs w:val="24"/>
        </w:rPr>
        <w:t xml:space="preserve"> </w:t>
      </w:r>
      <w:r w:rsidRPr="00DD04E3">
        <w:rPr>
          <w:rStyle w:val="Bodytext2Italic"/>
          <w:rFonts w:ascii="Times New Roman" w:hAnsi="Times New Roman" w:cs="Times New Roman"/>
          <w:sz w:val="24"/>
          <w:szCs w:val="24"/>
        </w:rPr>
        <w:t>Shepard’s Citations</w:t>
      </w:r>
      <w:r w:rsidRPr="00DD04E3">
        <w:rPr>
          <w:rFonts w:ascii="Times New Roman" w:hAnsi="Times New Roman" w:cs="Times New Roman"/>
          <w:sz w:val="24"/>
          <w:szCs w:val="24"/>
        </w:rPr>
        <w:t xml:space="preserve"> is a legal publication that provides data on both the citation and treatment of precedents. Following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and Hansford (2000)</w:t>
      </w:r>
      <w:r w:rsidR="00852EC2" w:rsidRPr="00DD04E3">
        <w:rPr>
          <w:rFonts w:ascii="Times New Roman" w:hAnsi="Times New Roman" w:cs="Times New Roman"/>
          <w:sz w:val="24"/>
          <w:szCs w:val="24"/>
        </w:rPr>
        <w:t>,</w:t>
      </w:r>
      <w:r w:rsidRPr="00DD04E3">
        <w:rPr>
          <w:rFonts w:ascii="Times New Roman" w:hAnsi="Times New Roman" w:cs="Times New Roman"/>
          <w:sz w:val="24"/>
          <w:szCs w:val="24"/>
        </w:rPr>
        <w:t xml:space="preserve"> I classify the following </w:t>
      </w:r>
      <w:r w:rsidRPr="00DD04E3">
        <w:rPr>
          <w:rStyle w:val="Bodytext2Italic"/>
          <w:rFonts w:ascii="Times New Roman" w:hAnsi="Times New Roman" w:cs="Times New Roman"/>
          <w:sz w:val="24"/>
          <w:szCs w:val="24"/>
        </w:rPr>
        <w:t>Shepard’s</w:t>
      </w:r>
      <w:r w:rsidRPr="00DD04E3">
        <w:rPr>
          <w:rFonts w:ascii="Times New Roman" w:hAnsi="Times New Roman" w:cs="Times New Roman"/>
          <w:sz w:val="24"/>
          <w:szCs w:val="24"/>
        </w:rPr>
        <w:t xml:space="preserve"> treatment as negative treatments: ‘Distinguished,’ ‘Criticized,’ ‘Limited,’ ‘Questioned,’ ‘Overruled,’ ‘Superseded,’ and ‘Disapproved.’ </w:t>
      </w:r>
      <w:r w:rsidR="00C45B6D" w:rsidRPr="00DD04E3">
        <w:rPr>
          <w:rFonts w:ascii="Times New Roman" w:hAnsi="Times New Roman" w:cs="Times New Roman"/>
          <w:sz w:val="24"/>
          <w:szCs w:val="24"/>
        </w:rPr>
        <w:t>Any</w:t>
      </w:r>
      <w:r w:rsidR="00C45B6D" w:rsidRPr="00624B31">
        <w:rPr>
          <w:rFonts w:ascii="Times New Roman" w:hAnsi="Times New Roman" w:cs="Times New Roman"/>
          <w:sz w:val="24"/>
          <w:szCs w:val="24"/>
        </w:rPr>
        <w:t xml:space="preserve"> other type of reference</w:t>
      </w:r>
      <w:r w:rsidRPr="00624B31">
        <w:rPr>
          <w:rFonts w:ascii="Times New Roman" w:hAnsi="Times New Roman" w:cs="Times New Roman"/>
          <w:sz w:val="24"/>
          <w:szCs w:val="24"/>
        </w:rPr>
        <w:t xml:space="preserve"> to</w:t>
      </w:r>
      <w:r w:rsidR="00C45B6D" w:rsidRPr="00624B31">
        <w:rPr>
          <w:rFonts w:ascii="Times New Roman" w:hAnsi="Times New Roman" w:cs="Times New Roman"/>
          <w:sz w:val="24"/>
          <w:szCs w:val="24"/>
        </w:rPr>
        <w:t xml:space="preserve"> a precedent is</w:t>
      </w:r>
      <w:r w:rsidRPr="00624B31">
        <w:rPr>
          <w:rFonts w:ascii="Times New Roman" w:hAnsi="Times New Roman" w:cs="Times New Roman"/>
          <w:sz w:val="24"/>
          <w:szCs w:val="24"/>
        </w:rPr>
        <w:t xml:space="preserve"> classified as </w:t>
      </w:r>
      <w:r w:rsidR="00C45B6D" w:rsidRPr="00624B31">
        <w:rPr>
          <w:rFonts w:ascii="Times New Roman" w:hAnsi="Times New Roman" w:cs="Times New Roman"/>
          <w:sz w:val="24"/>
          <w:szCs w:val="24"/>
        </w:rPr>
        <w:t>a citation</w:t>
      </w:r>
      <w:r w:rsidRPr="00624B31">
        <w:rPr>
          <w:rFonts w:ascii="Times New Roman" w:hAnsi="Times New Roman" w:cs="Times New Roman"/>
          <w:sz w:val="24"/>
          <w:szCs w:val="24"/>
        </w:rPr>
        <w:t xml:space="preserve">. </w:t>
      </w:r>
      <w:r w:rsidR="00C45B6D" w:rsidRPr="00624B31">
        <w:rPr>
          <w:rFonts w:ascii="Times New Roman" w:hAnsi="Times New Roman" w:cs="Times New Roman"/>
          <w:sz w:val="24"/>
          <w:szCs w:val="24"/>
        </w:rPr>
        <w:t xml:space="preserve"> </w:t>
      </w:r>
      <w:r w:rsidRPr="00624B31">
        <w:rPr>
          <w:rFonts w:ascii="Times New Roman" w:hAnsi="Times New Roman" w:cs="Times New Roman"/>
          <w:sz w:val="24"/>
          <w:szCs w:val="24"/>
        </w:rPr>
        <w:t>Although this outcome variable is ordinal, some explanatory variables may make both negative treatment and citation more likely than disregarding the precedent. For example, more similar precedents may be expected to be addressed more in general compared to less similar precedents.</w:t>
      </w:r>
      <w:r w:rsidR="00C45B6D" w:rsidRPr="00624B31">
        <w:rPr>
          <w:rFonts w:ascii="Times New Roman" w:hAnsi="Times New Roman" w:cs="Times New Roman"/>
          <w:sz w:val="24"/>
          <w:szCs w:val="24"/>
        </w:rPr>
        <w:t xml:space="preserve">  This pattern should manifest for both negative tre</w:t>
      </w:r>
      <w:r w:rsidR="007A5DDA">
        <w:rPr>
          <w:rFonts w:ascii="Times New Roman" w:hAnsi="Times New Roman" w:cs="Times New Roman"/>
          <w:sz w:val="24"/>
          <w:szCs w:val="24"/>
        </w:rPr>
        <w:t>atment and citation</w:t>
      </w:r>
      <w:r w:rsidR="00C45B6D" w:rsidRPr="00624B31">
        <w:rPr>
          <w:rFonts w:ascii="Times New Roman" w:hAnsi="Times New Roman" w:cs="Times New Roman"/>
          <w:sz w:val="24"/>
          <w:szCs w:val="24"/>
        </w:rPr>
        <w:t>.</w:t>
      </w:r>
      <w:r w:rsidRPr="00624B31">
        <w:rPr>
          <w:rFonts w:ascii="Times New Roman" w:hAnsi="Times New Roman" w:cs="Times New Roman"/>
          <w:sz w:val="24"/>
          <w:szCs w:val="24"/>
        </w:rPr>
        <w:t xml:space="preserve"> As a consequence, an ordered logit model is not appropriate in this context because the parallel slope assumption is likely violated (</w:t>
      </w:r>
      <w:proofErr w:type="spellStart"/>
      <w:r w:rsidRPr="00624B31">
        <w:rPr>
          <w:rFonts w:ascii="Times New Roman" w:hAnsi="Times New Roman" w:cs="Times New Roman"/>
          <w:sz w:val="24"/>
          <w:szCs w:val="24"/>
        </w:rPr>
        <w:t>Borooah</w:t>
      </w:r>
      <w:proofErr w:type="spellEnd"/>
      <w:r w:rsidRPr="00624B31">
        <w:rPr>
          <w:rFonts w:ascii="Times New Roman" w:hAnsi="Times New Roman" w:cs="Times New Roman"/>
          <w:sz w:val="24"/>
          <w:szCs w:val="24"/>
        </w:rPr>
        <w:t xml:space="preserve">, 2002; Hinkle, 2016). Since each treatment case appears in the dataset every time it is paired with a </w:t>
      </w:r>
      <w:r w:rsidRPr="00DD04E3">
        <w:rPr>
          <w:rFonts w:ascii="Times New Roman" w:hAnsi="Times New Roman" w:cs="Times New Roman"/>
          <w:sz w:val="24"/>
          <w:szCs w:val="24"/>
        </w:rPr>
        <w:t>precedent, I estimate</w:t>
      </w:r>
      <w:r w:rsidRPr="00624B31">
        <w:rPr>
          <w:rFonts w:ascii="Times New Roman" w:hAnsi="Times New Roman" w:cs="Times New Roman"/>
          <w:sz w:val="24"/>
          <w:szCs w:val="24"/>
        </w:rPr>
        <w:t xml:space="preserve"> robust standard errors clustered on the treatment case.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The panel type for each treatment case is </w:t>
      </w:r>
      <w:r w:rsidRPr="00DD04E3">
        <w:rPr>
          <w:rFonts w:ascii="Times New Roman" w:hAnsi="Times New Roman" w:cs="Times New Roman"/>
          <w:sz w:val="24"/>
          <w:szCs w:val="24"/>
        </w:rPr>
        <w:t>classified into three discrete categories using the binary proxy for ideology of party of the appointing president. The baseline panel type</w:t>
      </w:r>
      <w:r w:rsidR="00C45B6D" w:rsidRPr="00DD04E3">
        <w:rPr>
          <w:rFonts w:ascii="Times New Roman" w:hAnsi="Times New Roman" w:cs="Times New Roman"/>
          <w:sz w:val="24"/>
          <w:szCs w:val="24"/>
        </w:rPr>
        <w:t xml:space="preserve"> </w:t>
      </w:r>
      <w:r w:rsidRPr="00DD04E3">
        <w:rPr>
          <w:rFonts w:ascii="Times New Roman" w:hAnsi="Times New Roman" w:cs="Times New Roman"/>
          <w:sz w:val="24"/>
          <w:szCs w:val="24"/>
        </w:rPr>
        <w:t xml:space="preserve">is a unified panel; that is, one on which all three judges were appointed by a president from the same party. Indicator variables are included for </w:t>
      </w:r>
      <w:r w:rsidRPr="00DD04E3">
        <w:rPr>
          <w:rStyle w:val="Bodytext2Italic"/>
          <w:rFonts w:ascii="Times New Roman" w:hAnsi="Times New Roman" w:cs="Times New Roman"/>
          <w:sz w:val="24"/>
          <w:szCs w:val="24"/>
        </w:rPr>
        <w:t>Split Panel, Majority Author</w:t>
      </w:r>
      <w:r w:rsidRPr="00DD04E3">
        <w:rPr>
          <w:rFonts w:ascii="Times New Roman" w:hAnsi="Times New Roman" w:cs="Times New Roman"/>
          <w:sz w:val="24"/>
          <w:szCs w:val="24"/>
        </w:rPr>
        <w:t xml:space="preserve">, which indicates the author has one ideological ally on the panel, and </w:t>
      </w:r>
      <w:r w:rsidRPr="00DD04E3">
        <w:rPr>
          <w:rStyle w:val="Bodytext2Italic"/>
          <w:rFonts w:ascii="Times New Roman" w:hAnsi="Times New Roman" w:cs="Times New Roman"/>
          <w:sz w:val="24"/>
          <w:szCs w:val="24"/>
        </w:rPr>
        <w:t>Counterjudge Author</w:t>
      </w:r>
      <w:r w:rsidRPr="00DD04E3">
        <w:rPr>
          <w:rFonts w:ascii="Times New Roman" w:hAnsi="Times New Roman" w:cs="Times New Roman"/>
          <w:sz w:val="24"/>
          <w:szCs w:val="24"/>
        </w:rPr>
        <w:t xml:space="preserve">, which indicates the author has no ideological allies on the panel. Using a binary measure of ideology to empirically identify panel types that generate distinct theoretical predictions facilitates a simple and clear theoretical test. This is why using the party of the appointing president continues to be the dominant mode of analysis in the panel effects literature (see, e.g., </w:t>
      </w:r>
      <w:proofErr w:type="spellStart"/>
      <w:r w:rsidRPr="00DD04E3">
        <w:rPr>
          <w:rFonts w:ascii="Times New Roman" w:hAnsi="Times New Roman" w:cs="Times New Roman"/>
          <w:sz w:val="24"/>
          <w:szCs w:val="24"/>
        </w:rPr>
        <w:t>Kastellec</w:t>
      </w:r>
      <w:proofErr w:type="spellEnd"/>
      <w:r w:rsidRPr="00DD04E3">
        <w:rPr>
          <w:rFonts w:ascii="Times New Roman" w:hAnsi="Times New Roman" w:cs="Times New Roman"/>
          <w:sz w:val="24"/>
          <w:szCs w:val="24"/>
        </w:rPr>
        <w:t>, 2011; Kim, 2009) even while continuous measures are increasingly used in the judicial politics literature more broadly.</w:t>
      </w:r>
      <w:r w:rsidRPr="00DD04E3">
        <w:rPr>
          <w:rFonts w:ascii="Times New Roman" w:hAnsi="Times New Roman" w:cs="Times New Roman"/>
          <w:sz w:val="24"/>
          <w:szCs w:val="24"/>
          <w:vertAlign w:val="superscript"/>
        </w:rPr>
        <w:footnoteReference w:id="9"/>
      </w:r>
    </w:p>
    <w:p w:rsidR="00C95181" w:rsidRPr="00624B31" w:rsidRDefault="00B90DEA" w:rsidP="006400FB">
      <w:pPr>
        <w:pStyle w:val="Bodytext20"/>
        <w:shd w:val="clear" w:color="auto" w:fill="auto"/>
        <w:spacing w:before="0" w:line="480" w:lineRule="auto"/>
        <w:ind w:firstLine="401"/>
        <w:rPr>
          <w:rFonts w:ascii="Times New Roman" w:hAnsi="Times New Roman" w:cs="Times New Roman"/>
          <w:sz w:val="24"/>
          <w:szCs w:val="24"/>
        </w:rPr>
      </w:pPr>
      <w:r w:rsidRPr="00624B31">
        <w:rPr>
          <w:rFonts w:ascii="Times New Roman" w:hAnsi="Times New Roman" w:cs="Times New Roman"/>
          <w:sz w:val="24"/>
          <w:szCs w:val="24"/>
        </w:rPr>
        <w:t xml:space="preserve">My primary hypotheses call for estimating the effect of an author’s ideological distance to a precedent within each of the three panel types. Unlike panel type, there is no theoretical reason to reduce the distance between an author and precedent to discrete categories. </w:t>
      </w:r>
      <w:r w:rsidRPr="00DD04E3">
        <w:rPr>
          <w:rFonts w:ascii="Times New Roman" w:hAnsi="Times New Roman" w:cs="Times New Roman"/>
          <w:sz w:val="24"/>
          <w:szCs w:val="24"/>
        </w:rPr>
        <w:t>Consequently, I use a more nuanced continuous measure of ideology, Judicial Common Space (“JCS”) scores.</w:t>
      </w:r>
      <w:r w:rsidRPr="00DD04E3">
        <w:rPr>
          <w:rFonts w:ascii="Times New Roman" w:hAnsi="Times New Roman" w:cs="Times New Roman"/>
          <w:sz w:val="24"/>
          <w:szCs w:val="24"/>
          <w:vertAlign w:val="superscript"/>
        </w:rPr>
        <w:footnoteReference w:id="10"/>
      </w:r>
      <w:r w:rsidRPr="00DD04E3">
        <w:rPr>
          <w:rFonts w:ascii="Times New Roman" w:hAnsi="Times New Roman" w:cs="Times New Roman"/>
          <w:sz w:val="24"/>
          <w:szCs w:val="24"/>
        </w:rPr>
        <w:t xml:space="preserve"> </w:t>
      </w:r>
      <w:r w:rsidRPr="00DD04E3">
        <w:rPr>
          <w:rStyle w:val="Bodytext2Italic"/>
          <w:rFonts w:ascii="Times New Roman" w:hAnsi="Times New Roman" w:cs="Times New Roman"/>
          <w:sz w:val="24"/>
          <w:szCs w:val="24"/>
        </w:rPr>
        <w:t>Ideological Distance</w:t>
      </w:r>
      <w:r w:rsidRPr="00DD04E3">
        <w:rPr>
          <w:rFonts w:ascii="Times New Roman" w:hAnsi="Times New Roman" w:cs="Times New Roman"/>
          <w:sz w:val="24"/>
          <w:szCs w:val="24"/>
        </w:rPr>
        <w:t xml:space="preserve"> is the absolute value of the difference between the JCS score of the authoring</w:t>
      </w:r>
      <w:r w:rsidRPr="00624B31">
        <w:rPr>
          <w:rFonts w:ascii="Times New Roman" w:hAnsi="Times New Roman" w:cs="Times New Roman"/>
          <w:sz w:val="24"/>
          <w:szCs w:val="24"/>
        </w:rPr>
        <w:t xml:space="preserve"> judge in the treatment case and the court median for the precedent. It has a theoretical range from zero to two and higher values indicate greater ideological disparity. </w:t>
      </w:r>
      <w:r w:rsidRPr="00624B31">
        <w:rPr>
          <w:rStyle w:val="Bodytext2Italic"/>
          <w:rFonts w:ascii="Times New Roman" w:hAnsi="Times New Roman" w:cs="Times New Roman"/>
          <w:sz w:val="24"/>
          <w:szCs w:val="24"/>
        </w:rPr>
        <w:t>Ideological Distance</w:t>
      </w:r>
      <w:r w:rsidRPr="00624B31">
        <w:rPr>
          <w:rFonts w:ascii="Times New Roman" w:hAnsi="Times New Roman" w:cs="Times New Roman"/>
          <w:sz w:val="24"/>
          <w:szCs w:val="24"/>
        </w:rPr>
        <w:t xml:space="preserve"> is interacted with panel type to examine whether an author’s ideology has a different impact conditional upon the panel configuration. Additionally, there is an explanatory variable to indicate whether the precedent in question was written by one of the non-authoring judges on the panel.</w:t>
      </w:r>
    </w:p>
    <w:p w:rsidR="00C95181" w:rsidRPr="00624B31" w:rsidRDefault="00B90DEA" w:rsidP="006400FB">
      <w:pPr>
        <w:pStyle w:val="Bodytext20"/>
        <w:shd w:val="clear" w:color="auto" w:fill="auto"/>
        <w:spacing w:before="0" w:line="480" w:lineRule="auto"/>
        <w:ind w:firstLine="401"/>
        <w:rPr>
          <w:rFonts w:ascii="Times New Roman" w:hAnsi="Times New Roman" w:cs="Times New Roman"/>
          <w:sz w:val="24"/>
          <w:szCs w:val="24"/>
        </w:rPr>
      </w:pPr>
      <w:r w:rsidRPr="00624B31">
        <w:rPr>
          <w:rFonts w:ascii="Times New Roman" w:hAnsi="Times New Roman" w:cs="Times New Roman"/>
          <w:sz w:val="24"/>
          <w:szCs w:val="24"/>
        </w:rPr>
        <w:t xml:space="preserve">Control </w:t>
      </w:r>
      <w:r w:rsidRPr="00DD04E3">
        <w:rPr>
          <w:rFonts w:ascii="Times New Roman" w:hAnsi="Times New Roman" w:cs="Times New Roman"/>
          <w:sz w:val="24"/>
          <w:szCs w:val="24"/>
        </w:rPr>
        <w:t>variables include a number of characteristics of the precedent: whether it was</w:t>
      </w:r>
      <w:r w:rsidR="00561DC6" w:rsidRPr="00DD04E3">
        <w:rPr>
          <w:rFonts w:ascii="Times New Roman" w:hAnsi="Times New Roman" w:cs="Times New Roman"/>
          <w:sz w:val="24"/>
          <w:szCs w:val="24"/>
        </w:rPr>
        <w:t xml:space="preserve"> </w:t>
      </w:r>
      <w:r w:rsidRPr="00DD04E3">
        <w:rPr>
          <w:rFonts w:ascii="Times New Roman" w:hAnsi="Times New Roman" w:cs="Times New Roman"/>
          <w:sz w:val="24"/>
          <w:szCs w:val="24"/>
        </w:rPr>
        <w:t>written by the author in the treatment case, how similar it is to the treatment case, whether there was a dissenting opinion, whether it was a per curiam opinion, whether it was decided en banc, its vitality,</w:t>
      </w:r>
      <w:r w:rsidR="00CA261D" w:rsidRPr="00DD04E3">
        <w:rPr>
          <w:rStyle w:val="FootnoteReference"/>
          <w:rFonts w:ascii="Times New Roman" w:hAnsi="Times New Roman" w:cs="Times New Roman"/>
          <w:sz w:val="24"/>
          <w:szCs w:val="24"/>
        </w:rPr>
        <w:footnoteReference w:id="11"/>
      </w:r>
      <w:r w:rsidRPr="00DD04E3">
        <w:rPr>
          <w:rFonts w:ascii="Times New Roman" w:hAnsi="Times New Roman" w:cs="Times New Roman"/>
          <w:sz w:val="24"/>
          <w:szCs w:val="24"/>
        </w:rPr>
        <w:t xml:space="preserve"> the total number of times it has been previously cited and treated (within its own circuit), its age (and age squared), and its length (logged number of words)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2006; Hinkle, 2015;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and Hansford, 2002). Similarity between two cases is quantified using the similarity percentile measure based on cosine similarity scores discussed above (Hinkle, 2015).</w:t>
      </w:r>
      <w:r w:rsidRPr="00624B31">
        <w:rPr>
          <w:rFonts w:ascii="Times New Roman" w:hAnsi="Times New Roman" w:cs="Times New Roman"/>
          <w:sz w:val="24"/>
          <w:szCs w:val="24"/>
        </w:rPr>
        <w:t xml:space="preserve"> The length of the treatment case (logged </w:t>
      </w:r>
      <w:r w:rsidRPr="00DD04E3">
        <w:rPr>
          <w:rFonts w:ascii="Times New Roman" w:hAnsi="Times New Roman" w:cs="Times New Roman"/>
          <w:sz w:val="24"/>
          <w:szCs w:val="24"/>
        </w:rPr>
        <w:t xml:space="preserve">number of words) is also important to include in both models (Black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2008). In addition, I cont</w:t>
      </w:r>
      <w:r w:rsidRPr="00624B31">
        <w:rPr>
          <w:rFonts w:ascii="Times New Roman" w:hAnsi="Times New Roman" w:cs="Times New Roman"/>
          <w:sz w:val="24"/>
          <w:szCs w:val="24"/>
        </w:rPr>
        <w:t xml:space="preserve">rol for the logged number of available precedents and the </w:t>
      </w:r>
      <w:r w:rsidRPr="00DD04E3">
        <w:rPr>
          <w:rFonts w:ascii="Times New Roman" w:hAnsi="Times New Roman" w:cs="Times New Roman"/>
          <w:sz w:val="24"/>
          <w:szCs w:val="24"/>
        </w:rPr>
        <w:t>caseload</w:t>
      </w:r>
      <w:r w:rsidRPr="00DD04E3">
        <w:rPr>
          <w:rFonts w:ascii="Times New Roman" w:hAnsi="Times New Roman" w:cs="Times New Roman"/>
          <w:sz w:val="24"/>
          <w:szCs w:val="24"/>
          <w:vertAlign w:val="superscript"/>
        </w:rPr>
        <w:footnoteReference w:id="12"/>
      </w:r>
      <w:r w:rsidRPr="00DD04E3">
        <w:rPr>
          <w:rFonts w:ascii="Times New Roman" w:hAnsi="Times New Roman" w:cs="Times New Roman"/>
          <w:sz w:val="24"/>
          <w:szCs w:val="24"/>
        </w:rPr>
        <w:t xml:space="preserve"> of</w:t>
      </w:r>
      <w:r w:rsidRPr="00624B31">
        <w:rPr>
          <w:rFonts w:ascii="Times New Roman" w:hAnsi="Times New Roman" w:cs="Times New Roman"/>
          <w:sz w:val="24"/>
          <w:szCs w:val="24"/>
        </w:rPr>
        <w:t xml:space="preserve"> the deciding court.</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In addition to testing my primary hypotheses about panel </w:t>
      </w:r>
      <w:r w:rsidRPr="00DD04E3">
        <w:rPr>
          <w:rFonts w:ascii="Times New Roman" w:hAnsi="Times New Roman" w:cs="Times New Roman"/>
          <w:sz w:val="24"/>
          <w:szCs w:val="24"/>
        </w:rPr>
        <w:t xml:space="preserve">effects, I begin the empirical analysis below with a test of the foundational hypothesis that decisions about precedent impact the development of circuit law. The models to test this basic premise include an observation for each panel precedent from 1990 to 2010 in each calendar year subsequent to when it was issued (through 2010). I estimate two models, one for negative treatment and one for citation. The outcome variable is the annual count of each. Since these are counts which show evidence of </w:t>
      </w:r>
      <w:proofErr w:type="spellStart"/>
      <w:r w:rsidRPr="00DD04E3">
        <w:rPr>
          <w:rFonts w:ascii="Times New Roman" w:hAnsi="Times New Roman" w:cs="Times New Roman"/>
          <w:sz w:val="24"/>
          <w:szCs w:val="24"/>
        </w:rPr>
        <w:t>overdispersion</w:t>
      </w:r>
      <w:proofErr w:type="spellEnd"/>
      <w:r w:rsidRPr="00DD04E3">
        <w:rPr>
          <w:rFonts w:ascii="Times New Roman" w:hAnsi="Times New Roman" w:cs="Times New Roman"/>
          <w:sz w:val="24"/>
          <w:szCs w:val="24"/>
        </w:rPr>
        <w:t>, I use negative binomial regression models. The primary explanatory variable in each model is simply the outcome variable from the previous year. The models control for both static and dynamic features of each precedent that may influence citation and treatment. Specifically</w:t>
      </w:r>
      <w:r w:rsidR="009A2E0E" w:rsidRPr="00DD04E3">
        <w:rPr>
          <w:rFonts w:ascii="Times New Roman" w:hAnsi="Times New Roman" w:cs="Times New Roman"/>
          <w:sz w:val="24"/>
          <w:szCs w:val="24"/>
        </w:rPr>
        <w:t>,</w:t>
      </w:r>
      <w:r w:rsidRPr="00DD04E3">
        <w:rPr>
          <w:rFonts w:ascii="Times New Roman" w:hAnsi="Times New Roman" w:cs="Times New Roman"/>
          <w:sz w:val="24"/>
          <w:szCs w:val="24"/>
        </w:rPr>
        <w:t xml:space="preserve"> they control for whether the opinion</w:t>
      </w:r>
      <w:r w:rsidR="009A2E0E" w:rsidRPr="00DD04E3">
        <w:rPr>
          <w:rFonts w:ascii="Times New Roman" w:hAnsi="Times New Roman" w:cs="Times New Roman"/>
          <w:sz w:val="24"/>
          <w:szCs w:val="24"/>
        </w:rPr>
        <w:t xml:space="preserve"> </w:t>
      </w:r>
      <w:r w:rsidRPr="00DD04E3">
        <w:rPr>
          <w:rFonts w:ascii="Times New Roman" w:hAnsi="Times New Roman" w:cs="Times New Roman"/>
          <w:sz w:val="24"/>
          <w:szCs w:val="24"/>
        </w:rPr>
        <w:t>was accompanied by a dissent, was issued per curiam, or was issued en banc as well as the opinion length, age, and age squared. Finally, I control</w:t>
      </w:r>
      <w:r w:rsidRPr="00624B31">
        <w:rPr>
          <w:rFonts w:ascii="Times New Roman" w:hAnsi="Times New Roman" w:cs="Times New Roman"/>
          <w:sz w:val="24"/>
          <w:szCs w:val="24"/>
        </w:rPr>
        <w:t xml:space="preserve"> for the total number of cases in the dataset from the relevant circuit in the relevant year to control for variation in the opportunity to reference a case. Examining the annual aggregation of how an opinion is used makes it possible to track its changing role in circuit law over time.</w:t>
      </w:r>
    </w:p>
    <w:p w:rsidR="00C95181" w:rsidRPr="00DD04E3" w:rsidRDefault="00B90DEA" w:rsidP="009E21CC">
      <w:pPr>
        <w:pStyle w:val="Heading20"/>
        <w:keepNext/>
        <w:keepLines/>
        <w:shd w:val="clear" w:color="auto" w:fill="auto"/>
        <w:spacing w:before="0" w:after="0" w:line="480" w:lineRule="auto"/>
        <w:ind w:firstLine="0"/>
        <w:rPr>
          <w:rFonts w:ascii="Times New Roman" w:hAnsi="Times New Roman" w:cs="Times New Roman"/>
          <w:b/>
          <w:sz w:val="24"/>
          <w:szCs w:val="24"/>
        </w:rPr>
      </w:pPr>
      <w:bookmarkStart w:id="4" w:name="bookmark7"/>
      <w:r w:rsidRPr="00DD04E3">
        <w:rPr>
          <w:rFonts w:ascii="Times New Roman" w:hAnsi="Times New Roman" w:cs="Times New Roman"/>
          <w:b/>
          <w:sz w:val="24"/>
          <w:szCs w:val="24"/>
        </w:rPr>
        <w:t>Results</w:t>
      </w:r>
      <w:bookmarkEnd w:id="4"/>
    </w:p>
    <w:p w:rsidR="00C95181" w:rsidRPr="00624B31" w:rsidRDefault="00B90DEA" w:rsidP="006400FB">
      <w:pPr>
        <w:pStyle w:val="Bodytext20"/>
        <w:shd w:val="clear" w:color="auto" w:fill="auto"/>
        <w:spacing w:before="0" w:line="480" w:lineRule="auto"/>
        <w:ind w:firstLine="30"/>
        <w:rPr>
          <w:rFonts w:ascii="Times New Roman" w:hAnsi="Times New Roman" w:cs="Times New Roman"/>
          <w:sz w:val="24"/>
          <w:szCs w:val="24"/>
        </w:rPr>
      </w:pPr>
      <w:r w:rsidRPr="00DD04E3">
        <w:rPr>
          <w:rFonts w:ascii="Times New Roman" w:hAnsi="Times New Roman" w:cs="Times New Roman"/>
          <w:sz w:val="24"/>
          <w:szCs w:val="24"/>
        </w:rPr>
        <w:t>Table 1 supports</w:t>
      </w:r>
      <w:r w:rsidRPr="00624B31">
        <w:rPr>
          <w:rFonts w:ascii="Times New Roman" w:hAnsi="Times New Roman" w:cs="Times New Roman"/>
          <w:sz w:val="24"/>
          <w:szCs w:val="24"/>
        </w:rPr>
        <w:t xml:space="preserve"> my foundational hypothesis that both negative treatments and citations in one year will </w:t>
      </w:r>
      <w:r w:rsidRPr="00DB7FD1">
        <w:rPr>
          <w:rFonts w:ascii="Times New Roman" w:hAnsi="Times New Roman" w:cs="Times New Roman"/>
          <w:sz w:val="24"/>
          <w:szCs w:val="24"/>
        </w:rPr>
        <w:t>increase the number in the following year. Both relevant coefficients are positive and statistically significant.</w:t>
      </w:r>
      <w:r w:rsidRPr="00DB7FD1">
        <w:rPr>
          <w:rFonts w:ascii="Times New Roman" w:hAnsi="Times New Roman" w:cs="Times New Roman"/>
          <w:sz w:val="24"/>
          <w:szCs w:val="24"/>
          <w:vertAlign w:val="superscript"/>
        </w:rPr>
        <w:footnoteReference w:id="13"/>
      </w:r>
      <w:r w:rsidRPr="00DB7FD1">
        <w:rPr>
          <w:rFonts w:ascii="Times New Roman" w:hAnsi="Times New Roman" w:cs="Times New Roman"/>
          <w:sz w:val="24"/>
          <w:szCs w:val="24"/>
        </w:rPr>
        <w:t xml:space="preserve"> Furthermore, the substantive size of these effects are notable, especially for particularly high levels of citation</w:t>
      </w:r>
      <w:r w:rsidRPr="00624B31">
        <w:rPr>
          <w:rFonts w:ascii="Times New Roman" w:hAnsi="Times New Roman" w:cs="Times New Roman"/>
          <w:sz w:val="24"/>
          <w:szCs w:val="24"/>
        </w:rPr>
        <w:t>. An opinion cited zero times the previous year has a predicted count of only 0.24. An opinion must be cited four times the previous year before the predicted count exceeds one. However, there are dramatic increases as the previous cite count increases from four. Eigh</w:t>
      </w:r>
      <w:r w:rsidR="009E21CC">
        <w:rPr>
          <w:rFonts w:ascii="Times New Roman" w:hAnsi="Times New Roman" w:cs="Times New Roman"/>
          <w:sz w:val="24"/>
          <w:szCs w:val="24"/>
        </w:rPr>
        <w:t>t citations in a past year lead</w:t>
      </w:r>
      <w:r w:rsidRPr="00624B31">
        <w:rPr>
          <w:rFonts w:ascii="Times New Roman" w:hAnsi="Times New Roman" w:cs="Times New Roman"/>
          <w:sz w:val="24"/>
          <w:szCs w:val="24"/>
        </w:rPr>
        <w:t xml:space="preserve"> to nearly an equal number in the current year, and ten previous citations leads to almost 18 cites in the current year. The trend continues to increase and an opinion that has been cited the maximum of 13 times the previous year generates a predicted count of 66 citations. Negative treatments from the previous year range from only zero to five, but also exhibit a substantively noticeable effect with the predicted number of negative treatments ranging from 0.014 to 2.34 at the minimum and maximum negative treatments in the previous year.</w:t>
      </w:r>
    </w:p>
    <w:p w:rsidR="00D361DF" w:rsidRPr="00624B31" w:rsidRDefault="00D361DF" w:rsidP="006400FB">
      <w:pPr>
        <w:pStyle w:val="Bodytext20"/>
        <w:shd w:val="clear" w:color="auto" w:fill="auto"/>
        <w:spacing w:before="0" w:line="480" w:lineRule="auto"/>
        <w:ind w:firstLine="30"/>
        <w:rPr>
          <w:rFonts w:ascii="Times New Roman" w:hAnsi="Times New Roman" w:cs="Times New Roman"/>
          <w:sz w:val="24"/>
          <w:szCs w:val="24"/>
        </w:rPr>
      </w:pPr>
      <w:r w:rsidRPr="00624B31">
        <w:rPr>
          <w:rFonts w:ascii="Times New Roman" w:hAnsi="Times New Roman" w:cs="Times New Roman"/>
          <w:sz w:val="24"/>
          <w:szCs w:val="24"/>
        </w:rPr>
        <w:t>[Table 1 about here.]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Having demonstrated the downstream effects of decisions about using </w:t>
      </w:r>
      <w:r w:rsidRPr="00DB7FD1">
        <w:rPr>
          <w:rFonts w:ascii="Times New Roman" w:hAnsi="Times New Roman" w:cs="Times New Roman"/>
          <w:sz w:val="24"/>
          <w:szCs w:val="24"/>
        </w:rPr>
        <w:t>binding precedents, I now turn to evaluate whether panel effects influence such decisions. The specific aspect of opinion writing I examine is whether the author decides to negatively treat, disregard, or cite each binding circuit precedent. I look for evidence that panel composition conditions the author’s</w:t>
      </w:r>
      <w:r w:rsidRPr="00624B31">
        <w:rPr>
          <w:rFonts w:ascii="Times New Roman" w:hAnsi="Times New Roman" w:cs="Times New Roman"/>
          <w:sz w:val="24"/>
          <w:szCs w:val="24"/>
        </w:rPr>
        <w:t xml:space="preserve"> reliance on her own ideology in making these decisions. Table 2 sets forth the</w:t>
      </w:r>
      <w:r w:rsidR="00D361DF" w:rsidRPr="00624B31">
        <w:rPr>
          <w:rFonts w:ascii="Times New Roman" w:hAnsi="Times New Roman" w:cs="Times New Roman"/>
          <w:sz w:val="24"/>
          <w:szCs w:val="24"/>
        </w:rPr>
        <w:t xml:space="preserve"> </w:t>
      </w:r>
      <w:r w:rsidRPr="00624B31">
        <w:rPr>
          <w:rFonts w:ascii="Times New Roman" w:hAnsi="Times New Roman" w:cs="Times New Roman"/>
          <w:sz w:val="24"/>
          <w:szCs w:val="24"/>
        </w:rPr>
        <w:t xml:space="preserve">results of this analysis. When an author is writing for a unified panel, ideology plays the expected role. The author is more likely to negatively treat ideologically distant precedents and less likely to cite such precedents. Both of these patterns are statistically significant. The opposite sign on the coefficients for </w:t>
      </w:r>
      <w:r w:rsidRPr="00624B31">
        <w:rPr>
          <w:rStyle w:val="Bodytext2Italic"/>
          <w:rFonts w:ascii="Times New Roman" w:hAnsi="Times New Roman" w:cs="Times New Roman"/>
          <w:sz w:val="24"/>
          <w:szCs w:val="24"/>
        </w:rPr>
        <w:t>Ideological Distance</w:t>
      </w:r>
      <w:r w:rsidRPr="00624B31">
        <w:rPr>
          <w:rFonts w:ascii="Times New Roman" w:hAnsi="Times New Roman" w:cs="Times New Roman"/>
          <w:sz w:val="24"/>
          <w:szCs w:val="24"/>
        </w:rPr>
        <w:t xml:space="preserve"> when it is interacted with the other two panel types indicates that, as hypothesized, the effect of an author’s ideology is dampened by the presence of colleagues appointed by a president from a different party. Furthermore, for the decision to cite a precedent (rather than ignore it) the absence of any ideological allies on the panel appears to dampen the effect of the author’s ideology more than having one such ally on the panel.</w:t>
      </w:r>
    </w:p>
    <w:p w:rsidR="00D361DF" w:rsidRPr="00624B31" w:rsidRDefault="00D361DF" w:rsidP="006400FB">
      <w:pPr>
        <w:pStyle w:val="Bodytext20"/>
        <w:shd w:val="clear" w:color="auto" w:fill="auto"/>
        <w:spacing w:before="0" w:line="480" w:lineRule="auto"/>
        <w:ind w:firstLine="0"/>
        <w:rPr>
          <w:rFonts w:ascii="Times New Roman" w:hAnsi="Times New Roman" w:cs="Times New Roman"/>
          <w:sz w:val="24"/>
          <w:szCs w:val="24"/>
        </w:rPr>
      </w:pPr>
      <w:r w:rsidRPr="00624B31">
        <w:rPr>
          <w:rFonts w:ascii="Times New Roman" w:hAnsi="Times New Roman" w:cs="Times New Roman"/>
          <w:sz w:val="24"/>
          <w:szCs w:val="24"/>
        </w:rPr>
        <w:t>[Table 2 about here.]</w:t>
      </w:r>
    </w:p>
    <w:p w:rsidR="00C95181" w:rsidRPr="009E21CC" w:rsidRDefault="00B90DEA" w:rsidP="009E21CC">
      <w:pPr>
        <w:pStyle w:val="Bodytext20"/>
        <w:shd w:val="clear" w:color="auto" w:fill="auto"/>
        <w:spacing w:before="0" w:line="480" w:lineRule="auto"/>
        <w:ind w:firstLine="379"/>
        <w:rPr>
          <w:rFonts w:ascii="Times New Roman" w:hAnsi="Times New Roman" w:cs="Times New Roman"/>
          <w:sz w:val="24"/>
          <w:szCs w:val="24"/>
        </w:rPr>
      </w:pPr>
      <w:r w:rsidRPr="00624B31">
        <w:rPr>
          <w:rFonts w:ascii="Times New Roman" w:hAnsi="Times New Roman" w:cs="Times New Roman"/>
          <w:sz w:val="24"/>
          <w:szCs w:val="24"/>
        </w:rPr>
        <w:t>While the results in the regression table provide preliminary evidence of panel effects in opinion crafting, more in-depth analysis is necessary to evaluate the significance of these effects. Exploring a combination of marginal effects and predicted outcomes sheds light on substantive as well as statistical significance. S</w:t>
      </w:r>
      <w:r w:rsidR="00A23CDA" w:rsidRPr="00624B31">
        <w:rPr>
          <w:rFonts w:ascii="Times New Roman" w:hAnsi="Times New Roman" w:cs="Times New Roman"/>
          <w:sz w:val="24"/>
          <w:szCs w:val="24"/>
        </w:rPr>
        <w:t>uch calculations require</w:t>
      </w:r>
      <w:r w:rsidRPr="00624B31">
        <w:rPr>
          <w:rFonts w:ascii="Times New Roman" w:hAnsi="Times New Roman" w:cs="Times New Roman"/>
          <w:sz w:val="24"/>
          <w:szCs w:val="24"/>
        </w:rPr>
        <w:t xml:space="preserve"> fixing most explanatory variables at set values. Using median values in the dataset is often a sensible approach. However, </w:t>
      </w:r>
      <w:r w:rsidRPr="00DB7FD1">
        <w:rPr>
          <w:rFonts w:ascii="Times New Roman" w:hAnsi="Times New Roman" w:cs="Times New Roman"/>
          <w:sz w:val="24"/>
          <w:szCs w:val="24"/>
        </w:rPr>
        <w:t>here the</w:t>
      </w:r>
      <w:r w:rsidR="009E21CC">
        <w:rPr>
          <w:rFonts w:ascii="Times New Roman" w:hAnsi="Times New Roman" w:cs="Times New Roman"/>
          <w:sz w:val="24"/>
          <w:szCs w:val="24"/>
        </w:rPr>
        <w:t xml:space="preserve"> research design includes a</w:t>
      </w:r>
      <w:r w:rsidRPr="00DB7FD1">
        <w:rPr>
          <w:rFonts w:ascii="Times New Roman" w:hAnsi="Times New Roman" w:cs="Times New Roman"/>
          <w:sz w:val="24"/>
          <w:szCs w:val="24"/>
        </w:rPr>
        <w:t xml:space="preserve"> large number of precedents in the choice set for each case. The bulk of those will never be addressed. Since the primary</w:t>
      </w:r>
      <w:r w:rsidR="00A23CDA" w:rsidRPr="00DB7FD1">
        <w:rPr>
          <w:rFonts w:ascii="Times New Roman" w:hAnsi="Times New Roman" w:cs="Times New Roman"/>
          <w:sz w:val="24"/>
          <w:szCs w:val="24"/>
        </w:rPr>
        <w:t xml:space="preserve"> </w:t>
      </w:r>
      <w:r w:rsidRPr="00DB7FD1">
        <w:rPr>
          <w:rFonts w:ascii="Times New Roman" w:hAnsi="Times New Roman" w:cs="Times New Roman"/>
          <w:sz w:val="24"/>
          <w:szCs w:val="24"/>
        </w:rPr>
        <w:t xml:space="preserve">focus is on negative treatment and citation, I use the median values of those precedents that are actually discussed in some way rather than the median value of all precedents. For example, the median value of </w:t>
      </w:r>
      <w:r w:rsidRPr="00DB7FD1">
        <w:rPr>
          <w:rStyle w:val="Bodytext2Italic"/>
          <w:rFonts w:ascii="Times New Roman" w:hAnsi="Times New Roman" w:cs="Times New Roman"/>
          <w:sz w:val="24"/>
          <w:szCs w:val="24"/>
        </w:rPr>
        <w:t>Similarity Percentile</w:t>
      </w:r>
      <w:r w:rsidRPr="00DB7FD1">
        <w:rPr>
          <w:rFonts w:ascii="Times New Roman" w:hAnsi="Times New Roman" w:cs="Times New Roman"/>
          <w:sz w:val="24"/>
          <w:szCs w:val="24"/>
        </w:rPr>
        <w:t xml:space="preserve"> in the entire dataset is 75, but the median value for those precedents that are not ignored is 96. Focusing on the latter subgroup frames the marginal effects and predicted outcomes in terms of how the model influences the use of precedents most likely the make it into an opinion (without the loss of information that would occur if the choice set was narrowed substantially from the outset).</w:t>
      </w:r>
    </w:p>
    <w:p w:rsidR="009E21CC" w:rsidRPr="009E21CC" w:rsidRDefault="00B90DEA" w:rsidP="009E21CC">
      <w:pPr>
        <w:pStyle w:val="NormalWeb"/>
        <w:spacing w:before="2" w:after="2" w:line="480" w:lineRule="auto"/>
        <w:ind w:firstLine="379"/>
        <w:jc w:val="both"/>
        <w:rPr>
          <w:rFonts w:ascii="Times New Roman" w:hAnsi="Times New Roman"/>
        </w:rPr>
      </w:pPr>
      <w:r w:rsidRPr="009E21CC">
        <w:rPr>
          <w:rFonts w:ascii="Times New Roman" w:hAnsi="Times New Roman"/>
          <w:sz w:val="24"/>
          <w:szCs w:val="24"/>
        </w:rPr>
        <w:t xml:space="preserve">Figure 2 illustrates the marginal effect of </w:t>
      </w:r>
      <w:r w:rsidRPr="009E21CC">
        <w:rPr>
          <w:rStyle w:val="Bodytext2Italic"/>
          <w:rFonts w:ascii="Times New Roman" w:hAnsi="Times New Roman" w:cs="Times New Roman"/>
          <w:sz w:val="24"/>
          <w:szCs w:val="24"/>
        </w:rPr>
        <w:t>Ideological Distance</w:t>
      </w:r>
      <w:r w:rsidRPr="009E21CC">
        <w:rPr>
          <w:rFonts w:ascii="Times New Roman" w:hAnsi="Times New Roman"/>
          <w:sz w:val="24"/>
          <w:szCs w:val="24"/>
        </w:rPr>
        <w:t xml:space="preserve"> over its entire range for each different panel type. The same type of pattern emerges for both negative treatment</w:t>
      </w:r>
      <w:r w:rsidR="00A23CDA" w:rsidRPr="009E21CC">
        <w:rPr>
          <w:rFonts w:ascii="Times New Roman" w:hAnsi="Times New Roman"/>
          <w:sz w:val="24"/>
          <w:szCs w:val="24"/>
        </w:rPr>
        <w:t xml:space="preserve"> </w:t>
      </w:r>
      <w:r w:rsidR="009E21CC">
        <w:rPr>
          <w:rFonts w:ascii="Times New Roman" w:hAnsi="Times New Roman"/>
          <w:sz w:val="24"/>
          <w:szCs w:val="24"/>
        </w:rPr>
        <w:t xml:space="preserve">and citation.  </w:t>
      </w:r>
      <w:r w:rsidR="009E21CC" w:rsidRPr="009E21CC">
        <w:rPr>
          <w:rFonts w:ascii="Times New Roman" w:hAnsi="Times New Roman"/>
          <w:sz w:val="24"/>
          <w:szCs w:val="24"/>
        </w:rPr>
        <w:t xml:space="preserve">On unified panels the author’s ideology is statistically significant and in the </w:t>
      </w:r>
      <w:r w:rsidR="009E21CC">
        <w:rPr>
          <w:rFonts w:ascii="Times New Roman" w:hAnsi="Times New Roman"/>
          <w:sz w:val="24"/>
          <w:szCs w:val="24"/>
        </w:rPr>
        <w:t xml:space="preserve">expected direction.  </w:t>
      </w:r>
      <w:r w:rsidR="009E21CC" w:rsidRPr="009E21CC">
        <w:rPr>
          <w:rFonts w:ascii="Times New Roman" w:hAnsi="Times New Roman"/>
          <w:sz w:val="24"/>
          <w:szCs w:val="24"/>
        </w:rPr>
        <w:t>Moreover, with one exception, the effect of author ideology on unified panels has a significantly larger impact than on either other p</w:t>
      </w:r>
      <w:r w:rsidR="009E21CC">
        <w:rPr>
          <w:rFonts w:ascii="Times New Roman" w:hAnsi="Times New Roman"/>
          <w:sz w:val="24"/>
          <w:szCs w:val="24"/>
        </w:rPr>
        <w:t>anel type. The statistical sig</w:t>
      </w:r>
      <w:r w:rsidR="009E21CC" w:rsidRPr="009E21CC">
        <w:rPr>
          <w:rFonts w:ascii="Times New Roman" w:hAnsi="Times New Roman"/>
          <w:sz w:val="24"/>
          <w:szCs w:val="24"/>
        </w:rPr>
        <w:t xml:space="preserve">nificance of the difference from the other panel types is evident when the estimated marginal effect of </w:t>
      </w:r>
      <w:r w:rsidR="009E21CC" w:rsidRPr="009E21CC">
        <w:rPr>
          <w:rFonts w:ascii="Times New Roman" w:hAnsi="Times New Roman"/>
          <w:i/>
          <w:sz w:val="24"/>
          <w:szCs w:val="24"/>
        </w:rPr>
        <w:t>Ideological Distance</w:t>
      </w:r>
      <w:r w:rsidR="009E21CC" w:rsidRPr="009E21CC">
        <w:rPr>
          <w:rFonts w:ascii="Times New Roman" w:hAnsi="Times New Roman"/>
          <w:sz w:val="24"/>
          <w:szCs w:val="24"/>
        </w:rPr>
        <w:t xml:space="preserve"> for split panels with either a majority or </w:t>
      </w:r>
      <w:proofErr w:type="spellStart"/>
      <w:r w:rsidR="009E21CC" w:rsidRPr="009E21CC">
        <w:rPr>
          <w:rFonts w:ascii="Times New Roman" w:hAnsi="Times New Roman"/>
          <w:sz w:val="24"/>
          <w:szCs w:val="24"/>
        </w:rPr>
        <w:t>counterjudge</w:t>
      </w:r>
      <w:proofErr w:type="spellEnd"/>
      <w:r w:rsidR="009E21CC" w:rsidRPr="009E21CC">
        <w:rPr>
          <w:rFonts w:ascii="Times New Roman" w:hAnsi="Times New Roman"/>
          <w:sz w:val="24"/>
          <w:szCs w:val="24"/>
        </w:rPr>
        <w:t xml:space="preserve"> author falls outside the 95% confidence interval around the estimate</w:t>
      </w:r>
      <w:r w:rsidR="009E21CC">
        <w:rPr>
          <w:rFonts w:ascii="Times New Roman" w:hAnsi="Times New Roman"/>
          <w:sz w:val="24"/>
          <w:szCs w:val="24"/>
        </w:rPr>
        <w:t xml:space="preserve"> for unified panels. The excep</w:t>
      </w:r>
      <w:r w:rsidR="009E21CC" w:rsidRPr="009E21CC">
        <w:rPr>
          <w:rFonts w:ascii="Times New Roman" w:hAnsi="Times New Roman"/>
          <w:sz w:val="24"/>
          <w:szCs w:val="24"/>
        </w:rPr>
        <w:t xml:space="preserve">tion where this difference is not significant is the comparison to panels with a </w:t>
      </w:r>
      <w:proofErr w:type="spellStart"/>
      <w:r w:rsidR="009E21CC" w:rsidRPr="009E21CC">
        <w:rPr>
          <w:rFonts w:ascii="Times New Roman" w:hAnsi="Times New Roman"/>
          <w:sz w:val="24"/>
          <w:szCs w:val="24"/>
        </w:rPr>
        <w:t>counterjudge</w:t>
      </w:r>
      <w:proofErr w:type="spellEnd"/>
      <w:r w:rsidR="009E21CC" w:rsidRPr="009E21CC">
        <w:rPr>
          <w:rFonts w:ascii="Times New Roman" w:hAnsi="Times New Roman"/>
          <w:sz w:val="24"/>
          <w:szCs w:val="24"/>
        </w:rPr>
        <w:t xml:space="preserve"> author for the negative treatment decision. For both types of decisions and both types of split panels the effect of </w:t>
      </w:r>
      <w:r w:rsidR="009E21CC" w:rsidRPr="000632C6">
        <w:rPr>
          <w:rFonts w:ascii="Times New Roman" w:hAnsi="Times New Roman"/>
          <w:i/>
          <w:sz w:val="24"/>
          <w:szCs w:val="24"/>
        </w:rPr>
        <w:t>Ideological Distance</w:t>
      </w:r>
      <w:r w:rsidR="009E21CC" w:rsidRPr="009E21CC">
        <w:rPr>
          <w:rFonts w:ascii="Times New Roman" w:hAnsi="Times New Roman"/>
          <w:sz w:val="24"/>
          <w:szCs w:val="24"/>
        </w:rPr>
        <w:t xml:space="preserve"> is dampened to the point that it is not significantly different from zero. </w:t>
      </w:r>
    </w:p>
    <w:p w:rsidR="009E21CC" w:rsidRPr="000632C6" w:rsidRDefault="009E21CC" w:rsidP="000632C6">
      <w:pPr>
        <w:pStyle w:val="Bodytext20"/>
        <w:shd w:val="clear" w:color="auto" w:fill="auto"/>
        <w:spacing w:before="0" w:line="480" w:lineRule="auto"/>
        <w:ind w:firstLine="32"/>
        <w:rPr>
          <w:rFonts w:ascii="Times New Roman" w:hAnsi="Times New Roman" w:cs="Times New Roman"/>
          <w:sz w:val="24"/>
          <w:szCs w:val="24"/>
        </w:rPr>
      </w:pPr>
      <w:r w:rsidRPr="00624B31">
        <w:rPr>
          <w:rFonts w:ascii="Times New Roman" w:hAnsi="Times New Roman" w:cs="Times New Roman"/>
          <w:sz w:val="24"/>
          <w:szCs w:val="24"/>
        </w:rPr>
        <w:t>[</w:t>
      </w:r>
      <w:r w:rsidRPr="000632C6">
        <w:rPr>
          <w:rFonts w:ascii="Times New Roman" w:hAnsi="Times New Roman" w:cs="Times New Roman"/>
          <w:sz w:val="24"/>
          <w:szCs w:val="24"/>
        </w:rPr>
        <w:t>Figure 2 about here.]</w:t>
      </w:r>
    </w:p>
    <w:p w:rsidR="00C95181" w:rsidRPr="000632C6" w:rsidRDefault="009E21CC" w:rsidP="000632C6">
      <w:pPr>
        <w:widowControl/>
        <w:spacing w:beforeLines="1" w:afterLines="1" w:line="480" w:lineRule="auto"/>
        <w:ind w:firstLine="379"/>
        <w:jc w:val="both"/>
        <w:rPr>
          <w:rFonts w:ascii="Times New Roman" w:hAnsi="Times New Roman" w:cs="Times New Roman"/>
          <w:color w:val="auto"/>
          <w:sz w:val="20"/>
          <w:szCs w:val="20"/>
          <w:lang w:bidi="ar-SA"/>
        </w:rPr>
      </w:pPr>
      <w:r w:rsidRPr="000632C6">
        <w:rPr>
          <w:rFonts w:ascii="Times New Roman" w:hAnsi="Times New Roman" w:cs="Times New Roman"/>
          <w:color w:val="auto"/>
          <w:lang w:bidi="ar-SA"/>
        </w:rPr>
        <w:t xml:space="preserve">The marginal effects plots indicate that while the overall patterns are generally analogous for negative treatment and citation, </w:t>
      </w:r>
      <w:r w:rsidRPr="000632C6">
        <w:rPr>
          <w:rFonts w:ascii="Times New Roman" w:hAnsi="Times New Roman" w:cs="Times New Roman"/>
          <w:i/>
          <w:color w:val="auto"/>
          <w:lang w:bidi="ar-SA"/>
        </w:rPr>
        <w:t>Ideological Distance</w:t>
      </w:r>
      <w:r w:rsidRPr="000632C6">
        <w:rPr>
          <w:rFonts w:ascii="Times New Roman" w:hAnsi="Times New Roman" w:cs="Times New Roman"/>
          <w:color w:val="auto"/>
          <w:lang w:bidi="ar-SA"/>
        </w:rPr>
        <w:t xml:space="preserve"> has a bigger impact on decisions </w:t>
      </w:r>
      <w:r w:rsidR="00B90DEA" w:rsidRPr="000632C6">
        <w:rPr>
          <w:rFonts w:ascii="Times New Roman" w:hAnsi="Times New Roman" w:cs="Times New Roman"/>
        </w:rPr>
        <w:t>about citation than those about negative treatment. To further investigate this difference</w:t>
      </w:r>
      <w:r w:rsidR="000632C6">
        <w:rPr>
          <w:rFonts w:ascii="Times New Roman" w:hAnsi="Times New Roman" w:cs="Times New Roman"/>
        </w:rPr>
        <w:t>,</w:t>
      </w:r>
      <w:r w:rsidR="00B90DEA" w:rsidRPr="000632C6">
        <w:rPr>
          <w:rFonts w:ascii="Times New Roman" w:hAnsi="Times New Roman" w:cs="Times New Roman"/>
        </w:rPr>
        <w:t xml:space="preserve"> Figure 3 shows the predicted probabilities of citation and negative treatment for each panel type over the range of </w:t>
      </w:r>
      <w:r w:rsidR="00B90DEA" w:rsidRPr="000632C6">
        <w:rPr>
          <w:rStyle w:val="Bodytext2Italic"/>
          <w:rFonts w:ascii="Times New Roman" w:hAnsi="Times New Roman" w:cs="Times New Roman"/>
          <w:sz w:val="24"/>
          <w:szCs w:val="24"/>
        </w:rPr>
        <w:t>Ideological Distance.</w:t>
      </w:r>
      <w:r w:rsidR="00B90DEA" w:rsidRPr="000632C6">
        <w:rPr>
          <w:rFonts w:ascii="Times New Roman" w:hAnsi="Times New Roman" w:cs="Times New Roman"/>
        </w:rPr>
        <w:t xml:space="preserve"> The micro level of analyzing individual decisions about precedent can present challenges to evaluating the substantive impact of statistically significant effects. The large number of precedents in the choice set necessarily means that the baseline probability of negatively treating or citing an average case is quite small (even when the “average” case is characterized based on those precedents which are not ignored). The baseline predicted probability of negative treatment is </w:t>
      </w:r>
      <w:r w:rsidR="00B90DEA" w:rsidRPr="000632C6">
        <w:rPr>
          <w:rStyle w:val="Bodytext2Spacing-1pt0"/>
          <w:rFonts w:ascii="Times New Roman" w:hAnsi="Times New Roman" w:cs="Times New Roman"/>
          <w:spacing w:val="0"/>
          <w:sz w:val="24"/>
          <w:szCs w:val="24"/>
        </w:rPr>
        <w:t>0.004</w:t>
      </w:r>
      <w:r w:rsidR="00B90DEA" w:rsidRPr="000632C6">
        <w:rPr>
          <w:rFonts w:ascii="Times New Roman" w:hAnsi="Times New Roman" w:cs="Times New Roman"/>
        </w:rPr>
        <w:t xml:space="preserve"> while the baseline predicted probability of citation is </w:t>
      </w:r>
      <w:r w:rsidR="00B90DEA" w:rsidRPr="000632C6">
        <w:rPr>
          <w:rStyle w:val="Bodytext2Spacing-1pt0"/>
          <w:rFonts w:ascii="Times New Roman" w:hAnsi="Times New Roman" w:cs="Times New Roman"/>
          <w:spacing w:val="0"/>
          <w:sz w:val="24"/>
          <w:szCs w:val="24"/>
        </w:rPr>
        <w:t>0.054.</w:t>
      </w:r>
      <w:r w:rsidR="00B90DEA" w:rsidRPr="000632C6">
        <w:rPr>
          <w:rFonts w:ascii="Times New Roman" w:hAnsi="Times New Roman" w:cs="Times New Roman"/>
        </w:rPr>
        <w:t xml:space="preserve"> Note that panel (a) in Figure 3 covers a much smaller range of the y-axis than panel (b) in order to display the smaller predicted probabilities for negative treatment.</w:t>
      </w:r>
    </w:p>
    <w:p w:rsidR="00C95181" w:rsidRPr="00624B31" w:rsidRDefault="00B90DEA" w:rsidP="000632C6">
      <w:pPr>
        <w:pStyle w:val="Bodytext20"/>
        <w:shd w:val="clear" w:color="auto" w:fill="auto"/>
        <w:adjustRightInd w:val="0"/>
        <w:spacing w:before="0" w:line="480" w:lineRule="auto"/>
        <w:ind w:firstLine="720"/>
        <w:rPr>
          <w:rFonts w:ascii="Times New Roman" w:hAnsi="Times New Roman" w:cs="Times New Roman"/>
          <w:sz w:val="24"/>
          <w:szCs w:val="24"/>
        </w:rPr>
      </w:pPr>
      <w:r w:rsidRPr="000632C6">
        <w:rPr>
          <w:rFonts w:ascii="Times New Roman" w:hAnsi="Times New Roman" w:cs="Times New Roman"/>
          <w:sz w:val="24"/>
          <w:szCs w:val="24"/>
        </w:rPr>
        <w:t xml:space="preserve">For unified panels, Figure 3 shows that moving </w:t>
      </w:r>
      <w:r w:rsidRPr="000632C6">
        <w:rPr>
          <w:rStyle w:val="Bodytext2Italic"/>
          <w:rFonts w:ascii="Times New Roman" w:hAnsi="Times New Roman" w:cs="Times New Roman"/>
          <w:sz w:val="24"/>
          <w:szCs w:val="24"/>
        </w:rPr>
        <w:t>Ideological Distance</w:t>
      </w:r>
      <w:r w:rsidRPr="000632C6">
        <w:rPr>
          <w:rFonts w:ascii="Times New Roman" w:hAnsi="Times New Roman" w:cs="Times New Roman"/>
          <w:sz w:val="24"/>
          <w:szCs w:val="24"/>
        </w:rPr>
        <w:t xml:space="preserve"> from zero to its highest value in the data increases the</w:t>
      </w:r>
      <w:r w:rsidRPr="00DB7FD1">
        <w:rPr>
          <w:rFonts w:ascii="Times New Roman" w:hAnsi="Times New Roman" w:cs="Times New Roman"/>
          <w:sz w:val="24"/>
          <w:szCs w:val="24"/>
        </w:rPr>
        <w:t xml:space="preserve"> predicted probability of negative treatment by </w:t>
      </w:r>
      <w:r w:rsidRPr="00DB7FD1">
        <w:rPr>
          <w:rStyle w:val="Bodytext2Spacing-1pt0"/>
          <w:rFonts w:ascii="Times New Roman" w:hAnsi="Times New Roman" w:cs="Times New Roman"/>
          <w:spacing w:val="0"/>
          <w:sz w:val="24"/>
          <w:szCs w:val="24"/>
        </w:rPr>
        <w:t xml:space="preserve">0.0024 </w:t>
      </w:r>
      <w:r w:rsidRPr="00DB7FD1">
        <w:rPr>
          <w:rFonts w:ascii="Times New Roman" w:hAnsi="Times New Roman" w:cs="Times New Roman"/>
          <w:sz w:val="24"/>
          <w:szCs w:val="24"/>
        </w:rPr>
        <w:t xml:space="preserve">(from </w:t>
      </w:r>
      <w:r w:rsidRPr="00DB7FD1">
        <w:rPr>
          <w:rStyle w:val="Bodytext2Spacing-1pt0"/>
          <w:rFonts w:ascii="Times New Roman" w:hAnsi="Times New Roman" w:cs="Times New Roman"/>
          <w:spacing w:val="0"/>
          <w:sz w:val="24"/>
          <w:szCs w:val="24"/>
        </w:rPr>
        <w:t>0.0027 to 0.0051),</w:t>
      </w:r>
      <w:r w:rsidRPr="00DB7FD1">
        <w:rPr>
          <w:rFonts w:ascii="Times New Roman" w:hAnsi="Times New Roman" w:cs="Times New Roman"/>
          <w:sz w:val="24"/>
          <w:szCs w:val="24"/>
        </w:rPr>
        <w:t xml:space="preserve"> an </w:t>
      </w:r>
      <w:r w:rsidRPr="00DB7FD1">
        <w:rPr>
          <w:rStyle w:val="Bodytext2Spacing-1pt0"/>
          <w:rFonts w:ascii="Times New Roman" w:hAnsi="Times New Roman" w:cs="Times New Roman"/>
          <w:spacing w:val="0"/>
          <w:sz w:val="24"/>
          <w:szCs w:val="24"/>
        </w:rPr>
        <w:t>89%</w:t>
      </w:r>
      <w:r w:rsidRPr="00DB7FD1">
        <w:rPr>
          <w:rFonts w:ascii="Times New Roman" w:hAnsi="Times New Roman" w:cs="Times New Roman"/>
          <w:sz w:val="24"/>
          <w:szCs w:val="24"/>
        </w:rPr>
        <w:t xml:space="preserve"> increase. The same change reduces the predicted probability</w:t>
      </w:r>
      <w:r w:rsidR="00685D84" w:rsidRPr="00DB7FD1">
        <w:rPr>
          <w:rFonts w:ascii="Times New Roman" w:hAnsi="Times New Roman" w:cs="Times New Roman"/>
          <w:sz w:val="24"/>
          <w:szCs w:val="24"/>
        </w:rPr>
        <w:t xml:space="preserve"> </w:t>
      </w:r>
      <w:r w:rsidRPr="00DB7FD1">
        <w:rPr>
          <w:rFonts w:ascii="Times New Roman" w:hAnsi="Times New Roman" w:cs="Times New Roman"/>
          <w:sz w:val="24"/>
          <w:szCs w:val="24"/>
        </w:rPr>
        <w:t xml:space="preserve">of citation by </w:t>
      </w:r>
      <w:r w:rsidRPr="00DB7FD1">
        <w:rPr>
          <w:rStyle w:val="Bodytext2Spacing-1pt0"/>
          <w:rFonts w:ascii="Times New Roman" w:hAnsi="Times New Roman" w:cs="Times New Roman"/>
          <w:spacing w:val="0"/>
          <w:sz w:val="24"/>
          <w:szCs w:val="24"/>
        </w:rPr>
        <w:t>0.014</w:t>
      </w:r>
      <w:r w:rsidRPr="00DB7FD1">
        <w:rPr>
          <w:rFonts w:ascii="Times New Roman" w:hAnsi="Times New Roman" w:cs="Times New Roman"/>
          <w:sz w:val="24"/>
          <w:szCs w:val="24"/>
        </w:rPr>
        <w:t xml:space="preserve"> (from </w:t>
      </w:r>
      <w:r w:rsidRPr="00DB7FD1">
        <w:rPr>
          <w:rStyle w:val="Bodytext2Spacing-1pt0"/>
          <w:rFonts w:ascii="Times New Roman" w:hAnsi="Times New Roman" w:cs="Times New Roman"/>
          <w:spacing w:val="0"/>
          <w:sz w:val="24"/>
          <w:szCs w:val="24"/>
        </w:rPr>
        <w:t>0.060 to 0.046),</w:t>
      </w:r>
      <w:r w:rsidRPr="00DB7FD1">
        <w:rPr>
          <w:rFonts w:ascii="Times New Roman" w:hAnsi="Times New Roman" w:cs="Times New Roman"/>
          <w:sz w:val="24"/>
          <w:szCs w:val="24"/>
        </w:rPr>
        <w:t xml:space="preserve"> a </w:t>
      </w:r>
      <w:r w:rsidRPr="00DB7FD1">
        <w:rPr>
          <w:rStyle w:val="Bodytext2Spacing-1pt0"/>
          <w:rFonts w:ascii="Times New Roman" w:hAnsi="Times New Roman" w:cs="Times New Roman"/>
          <w:spacing w:val="0"/>
          <w:sz w:val="24"/>
          <w:szCs w:val="24"/>
        </w:rPr>
        <w:t>23%</w:t>
      </w:r>
      <w:r w:rsidRPr="00DB7FD1">
        <w:rPr>
          <w:rFonts w:ascii="Times New Roman" w:hAnsi="Times New Roman" w:cs="Times New Roman"/>
          <w:sz w:val="24"/>
          <w:szCs w:val="24"/>
        </w:rPr>
        <w:t xml:space="preserve"> reduction. Evaluating effect sizes at the case level is somewhat more intuitive. Due to the research design, the median number of binding precedents available for negative treatment or citation is quite large; roughly </w:t>
      </w:r>
      <w:r w:rsidRPr="00DB7FD1">
        <w:rPr>
          <w:rStyle w:val="Bodytext2Spacing-1pt0"/>
          <w:rFonts w:ascii="Times New Roman" w:hAnsi="Times New Roman" w:cs="Times New Roman"/>
          <w:spacing w:val="0"/>
          <w:sz w:val="24"/>
          <w:szCs w:val="24"/>
        </w:rPr>
        <w:t>1,300.</w:t>
      </w:r>
      <w:r w:rsidRPr="00DB7FD1">
        <w:rPr>
          <w:rFonts w:ascii="Times New Roman" w:hAnsi="Times New Roman" w:cs="Times New Roman"/>
          <w:sz w:val="24"/>
          <w:szCs w:val="24"/>
        </w:rPr>
        <w:t xml:space="preserve"> With a choice set of </w:t>
      </w:r>
      <w:r w:rsidRPr="00DB7FD1">
        <w:rPr>
          <w:rStyle w:val="Bodytext2Spacing-1pt0"/>
          <w:rFonts w:ascii="Times New Roman" w:hAnsi="Times New Roman" w:cs="Times New Roman"/>
          <w:spacing w:val="0"/>
          <w:sz w:val="24"/>
          <w:szCs w:val="24"/>
        </w:rPr>
        <w:t>1,300,</w:t>
      </w:r>
      <w:r w:rsidRPr="00DB7FD1">
        <w:rPr>
          <w:rFonts w:ascii="Times New Roman" w:hAnsi="Times New Roman" w:cs="Times New Roman"/>
          <w:sz w:val="24"/>
          <w:szCs w:val="24"/>
        </w:rPr>
        <w:t xml:space="preserve"> the model predicts that a typical author will cite 19 cases and negatively treat 0.9 cases from the most ideologically proximate quartile of the choice set while citing 17 cases and negatively treating 1.3 cases from the most distant quartile. Although these</w:t>
      </w:r>
      <w:r w:rsidRPr="00624B31">
        <w:rPr>
          <w:rFonts w:ascii="Times New Roman" w:hAnsi="Times New Roman" w:cs="Times New Roman"/>
          <w:sz w:val="24"/>
          <w:szCs w:val="24"/>
        </w:rPr>
        <w:t xml:space="preserve"> differences of two citations and one third of a negative treatment are not overwhelmingly large, they do indicate that the </w:t>
      </w:r>
      <w:r w:rsidRPr="00624B31">
        <w:rPr>
          <w:rStyle w:val="Bodytext2Spacing-1pt0"/>
          <w:rFonts w:ascii="Times New Roman" w:hAnsi="Times New Roman" w:cs="Times New Roman"/>
          <w:spacing w:val="0"/>
          <w:sz w:val="24"/>
          <w:szCs w:val="24"/>
        </w:rPr>
        <w:t>author’s</w:t>
      </w:r>
      <w:r w:rsidRPr="00624B31">
        <w:rPr>
          <w:rFonts w:ascii="Times New Roman" w:hAnsi="Times New Roman" w:cs="Times New Roman"/>
          <w:sz w:val="24"/>
          <w:szCs w:val="24"/>
        </w:rPr>
        <w:t xml:space="preserve"> ideology plays a measurable role for unified panels when micro decisions are aggregated to the case level. Moreover, it is important to bear in mind that for those additional precedents being cited or negatively treated based on ideology, such decisions aggregated across all citing cases in a given year can have a substantial impact on how that precedent is used in the following years.</w:t>
      </w:r>
    </w:p>
    <w:p w:rsidR="00C95181" w:rsidRPr="00624B31" w:rsidRDefault="00A23CDA" w:rsidP="006400FB">
      <w:pPr>
        <w:adjustRightInd w:val="0"/>
        <w:spacing w:line="480" w:lineRule="auto"/>
        <w:rPr>
          <w:rFonts w:ascii="Times New Roman" w:hAnsi="Times New Roman" w:cs="Times New Roman"/>
        </w:rPr>
      </w:pPr>
      <w:r w:rsidRPr="00624B31">
        <w:rPr>
          <w:rFonts w:ascii="Times New Roman" w:hAnsi="Times New Roman" w:cs="Times New Roman"/>
        </w:rPr>
        <w:t>[Figure 3 about here.]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In addition to ideological dampening when the panel </w:t>
      </w:r>
      <w:r w:rsidRPr="00DB7FD1">
        <w:rPr>
          <w:rFonts w:ascii="Times New Roman" w:hAnsi="Times New Roman" w:cs="Times New Roman"/>
          <w:sz w:val="24"/>
          <w:szCs w:val="24"/>
        </w:rPr>
        <w:t>is not unified, there is further evidence authors are influenced by the identity of their panel colleagues. Even after accounting for numerous other factors, an author is significantly more li</w:t>
      </w:r>
      <w:r w:rsidR="005965D5">
        <w:rPr>
          <w:rFonts w:ascii="Times New Roman" w:hAnsi="Times New Roman" w:cs="Times New Roman"/>
          <w:sz w:val="24"/>
          <w:szCs w:val="24"/>
        </w:rPr>
        <w:t>kely to cite a precedent</w:t>
      </w:r>
      <w:r w:rsidRPr="00DB7FD1">
        <w:rPr>
          <w:rFonts w:ascii="Times New Roman" w:hAnsi="Times New Roman" w:cs="Times New Roman"/>
          <w:sz w:val="24"/>
          <w:szCs w:val="24"/>
        </w:rPr>
        <w:t xml:space="preserve"> written by a fellow member of the panel than one written by a judge who is not on the panel. However, the presence of the precedent author on the panel does not have a statistically significant effect on negative treatment. As illustrated in Figure 4, the substantive size of the effect for citation is somewhat modest; authors are most likely to cite their own precedents.</w:t>
      </w:r>
      <w:r w:rsidRPr="00DB7FD1">
        <w:rPr>
          <w:rFonts w:ascii="Times New Roman" w:hAnsi="Times New Roman" w:cs="Times New Roman"/>
          <w:sz w:val="24"/>
          <w:szCs w:val="24"/>
          <w:vertAlign w:val="superscript"/>
        </w:rPr>
        <w:footnoteReference w:id="14"/>
      </w:r>
      <w:r w:rsidRPr="00DB7FD1">
        <w:rPr>
          <w:rFonts w:ascii="Times New Roman" w:hAnsi="Times New Roman" w:cs="Times New Roman"/>
          <w:sz w:val="24"/>
          <w:szCs w:val="24"/>
        </w:rPr>
        <w:t xml:space="preserve"> Nevertheless</w:t>
      </w:r>
      <w:r w:rsidRPr="00624B31">
        <w:rPr>
          <w:rFonts w:ascii="Times New Roman" w:hAnsi="Times New Roman" w:cs="Times New Roman"/>
          <w:sz w:val="24"/>
          <w:szCs w:val="24"/>
        </w:rPr>
        <w:t xml:space="preserve">, a precedent written by a non-author panel member has a </w:t>
      </w:r>
      <w:r w:rsidRPr="00624B31">
        <w:rPr>
          <w:rStyle w:val="Bodytext2Spacing-1pt0"/>
          <w:rFonts w:ascii="Times New Roman" w:hAnsi="Times New Roman" w:cs="Times New Roman"/>
          <w:spacing w:val="0"/>
          <w:sz w:val="24"/>
          <w:szCs w:val="24"/>
        </w:rPr>
        <w:t xml:space="preserve">0.062 </w:t>
      </w:r>
      <w:r w:rsidRPr="00624B31">
        <w:rPr>
          <w:rFonts w:ascii="Times New Roman" w:hAnsi="Times New Roman" w:cs="Times New Roman"/>
          <w:sz w:val="24"/>
          <w:szCs w:val="24"/>
        </w:rPr>
        <w:t>predi</w:t>
      </w:r>
      <w:r w:rsidR="005965D5">
        <w:rPr>
          <w:rFonts w:ascii="Times New Roman" w:hAnsi="Times New Roman" w:cs="Times New Roman"/>
          <w:sz w:val="24"/>
          <w:szCs w:val="24"/>
        </w:rPr>
        <w:t>cted probability of citation, a</w:t>
      </w:r>
      <w:r w:rsidRPr="00624B31">
        <w:rPr>
          <w:rFonts w:ascii="Times New Roman" w:hAnsi="Times New Roman" w:cs="Times New Roman"/>
          <w:sz w:val="24"/>
          <w:szCs w:val="24"/>
        </w:rPr>
        <w:t xml:space="preserve"> 15% increase over the baseline probability of citing a precedent written by a judge who is not serving on the relevant </w:t>
      </w:r>
      <w:proofErr w:type="gramStart"/>
      <w:r w:rsidRPr="00624B31">
        <w:rPr>
          <w:rFonts w:ascii="Times New Roman" w:hAnsi="Times New Roman" w:cs="Times New Roman"/>
          <w:sz w:val="24"/>
          <w:szCs w:val="24"/>
        </w:rPr>
        <w:t>panel.</w:t>
      </w:r>
      <w:proofErr w:type="gramEnd"/>
    </w:p>
    <w:p w:rsidR="004F1F62" w:rsidRPr="00624B31" w:rsidRDefault="004F1F62" w:rsidP="006400FB">
      <w:pPr>
        <w:pStyle w:val="Bodytext20"/>
        <w:shd w:val="clear" w:color="auto" w:fill="auto"/>
        <w:spacing w:before="0" w:line="480" w:lineRule="auto"/>
        <w:ind w:firstLine="0"/>
        <w:rPr>
          <w:rFonts w:ascii="Times New Roman" w:hAnsi="Times New Roman" w:cs="Times New Roman"/>
          <w:sz w:val="24"/>
          <w:szCs w:val="24"/>
        </w:rPr>
      </w:pPr>
      <w:r w:rsidRPr="00624B31">
        <w:rPr>
          <w:rFonts w:ascii="Times New Roman" w:hAnsi="Times New Roman" w:cs="Times New Roman"/>
          <w:sz w:val="24"/>
          <w:szCs w:val="24"/>
        </w:rPr>
        <w:t>[Figure 4 about here.]</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The control variables tend to have the anticipated effect on both negative treatment and citation. Authors are more likely to cite their own precedents. More similar precedents are more likely to be both negatively treated and cited. The latter finding is consistent with the reality that negative treatment is often driven by the necessity of explaining why a precedent that appears to be quite similar is, in fact, not legally relevant. Precedents accompanied by a dissent are more likely to be treated negatively and less likely to be cited. Both per curiam and en banc precedents are less likely to be cited. The fact that en banc opinions are cited less is somewhat strange. It might reflect a dynamic in which en banc cases produce greater legal certainty, thereby reducing subsequent litigation on the issues in question. The dynamic variables mostly reflect the expected patterns. </w:t>
      </w:r>
      <w:r w:rsidRPr="00624B31">
        <w:rPr>
          <w:rStyle w:val="Bodytext2Italic"/>
          <w:rFonts w:ascii="Times New Roman" w:hAnsi="Times New Roman" w:cs="Times New Roman"/>
          <w:sz w:val="24"/>
          <w:szCs w:val="24"/>
        </w:rPr>
        <w:t>Vitality, Total Citations,</w:t>
      </w:r>
      <w:r w:rsidRPr="00624B31">
        <w:rPr>
          <w:rFonts w:ascii="Times New Roman" w:hAnsi="Times New Roman" w:cs="Times New Roman"/>
          <w:sz w:val="24"/>
          <w:szCs w:val="24"/>
        </w:rPr>
        <w:t xml:space="preserve"> and </w:t>
      </w:r>
      <w:r w:rsidRPr="00624B31">
        <w:rPr>
          <w:rStyle w:val="Bodytext2Italic"/>
          <w:rFonts w:ascii="Times New Roman" w:hAnsi="Times New Roman" w:cs="Times New Roman"/>
          <w:sz w:val="24"/>
          <w:szCs w:val="24"/>
        </w:rPr>
        <w:t>Total Treatments</w:t>
      </w:r>
      <w:r w:rsidRPr="00624B31">
        <w:rPr>
          <w:rFonts w:ascii="Times New Roman" w:hAnsi="Times New Roman" w:cs="Times New Roman"/>
          <w:sz w:val="24"/>
          <w:szCs w:val="24"/>
        </w:rPr>
        <w:t xml:space="preserve"> all increase citation and </w:t>
      </w:r>
      <w:r w:rsidRPr="00624B31">
        <w:rPr>
          <w:rStyle w:val="Bodytext2Italic"/>
          <w:rFonts w:ascii="Times New Roman" w:hAnsi="Times New Roman" w:cs="Times New Roman"/>
          <w:sz w:val="24"/>
          <w:szCs w:val="24"/>
        </w:rPr>
        <w:t>Vitality</w:t>
      </w:r>
      <w:r w:rsidRPr="00624B31">
        <w:rPr>
          <w:rFonts w:ascii="Times New Roman" w:hAnsi="Times New Roman" w:cs="Times New Roman"/>
          <w:sz w:val="24"/>
          <w:szCs w:val="24"/>
        </w:rPr>
        <w:t xml:space="preserve"> decreases negative treatment. </w:t>
      </w:r>
      <w:r w:rsidRPr="00624B31">
        <w:rPr>
          <w:rStyle w:val="Bodytext2Italic"/>
          <w:rFonts w:ascii="Times New Roman" w:hAnsi="Times New Roman" w:cs="Times New Roman"/>
          <w:sz w:val="24"/>
          <w:szCs w:val="24"/>
        </w:rPr>
        <w:t xml:space="preserve">Total Treatments </w:t>
      </w:r>
      <w:r w:rsidRPr="00624B31">
        <w:rPr>
          <w:rFonts w:ascii="Times New Roman" w:hAnsi="Times New Roman" w:cs="Times New Roman"/>
          <w:sz w:val="24"/>
          <w:szCs w:val="24"/>
        </w:rPr>
        <w:t xml:space="preserve">increases negative treatments. </w:t>
      </w:r>
      <w:r w:rsidRPr="00624B31">
        <w:rPr>
          <w:rStyle w:val="Bodytext2Italic"/>
          <w:rFonts w:ascii="Times New Roman" w:hAnsi="Times New Roman" w:cs="Times New Roman"/>
          <w:sz w:val="24"/>
          <w:szCs w:val="24"/>
        </w:rPr>
        <w:t>Precedent Age</w:t>
      </w:r>
      <w:r w:rsidRPr="00624B31">
        <w:rPr>
          <w:rFonts w:ascii="Times New Roman" w:hAnsi="Times New Roman" w:cs="Times New Roman"/>
          <w:sz w:val="24"/>
          <w:szCs w:val="24"/>
        </w:rPr>
        <w:t xml:space="preserve"> has the anticipated non-monotonic effect. Longer precedents are cited more and treated negatively less. The latter result suggests opinion length is associated with greater legal quality rather than just addressing a greater number of issues. When author</w:t>
      </w:r>
      <w:r w:rsidR="00DB7FD1">
        <w:rPr>
          <w:rFonts w:ascii="Times New Roman" w:hAnsi="Times New Roman" w:cs="Times New Roman"/>
          <w:sz w:val="24"/>
          <w:szCs w:val="24"/>
        </w:rPr>
        <w:t>s write</w:t>
      </w:r>
      <w:r w:rsidRPr="00624B31">
        <w:rPr>
          <w:rFonts w:ascii="Times New Roman" w:hAnsi="Times New Roman" w:cs="Times New Roman"/>
          <w:sz w:val="24"/>
          <w:szCs w:val="24"/>
        </w:rPr>
        <w:t xml:space="preserve"> longer </w:t>
      </w:r>
      <w:r w:rsidR="00DB7FD1" w:rsidRPr="00624B31">
        <w:rPr>
          <w:rFonts w:ascii="Times New Roman" w:hAnsi="Times New Roman" w:cs="Times New Roman"/>
          <w:sz w:val="24"/>
          <w:szCs w:val="24"/>
        </w:rPr>
        <w:t>opinion</w:t>
      </w:r>
      <w:r w:rsidR="00DB7FD1">
        <w:rPr>
          <w:rFonts w:ascii="Times New Roman" w:hAnsi="Times New Roman" w:cs="Times New Roman"/>
          <w:sz w:val="24"/>
          <w:szCs w:val="24"/>
        </w:rPr>
        <w:t>s</w:t>
      </w:r>
      <w:r w:rsidR="00DB7FD1" w:rsidRPr="00624B31">
        <w:rPr>
          <w:rFonts w:ascii="Times New Roman" w:hAnsi="Times New Roman" w:cs="Times New Roman"/>
          <w:sz w:val="24"/>
          <w:szCs w:val="24"/>
        </w:rPr>
        <w:t>,</w:t>
      </w:r>
      <w:r w:rsidRPr="00624B31">
        <w:rPr>
          <w:rFonts w:ascii="Times New Roman" w:hAnsi="Times New Roman" w:cs="Times New Roman"/>
          <w:sz w:val="24"/>
          <w:szCs w:val="24"/>
        </w:rPr>
        <w:t xml:space="preserve"> they are more likely to both cite</w:t>
      </w:r>
      <w:r w:rsidR="006876B5" w:rsidRPr="00624B31">
        <w:rPr>
          <w:rFonts w:ascii="Times New Roman" w:hAnsi="Times New Roman" w:cs="Times New Roman"/>
          <w:sz w:val="24"/>
          <w:szCs w:val="24"/>
        </w:rPr>
        <w:t xml:space="preserve"> </w:t>
      </w:r>
      <w:r w:rsidRPr="00624B31">
        <w:rPr>
          <w:rFonts w:ascii="Times New Roman" w:hAnsi="Times New Roman" w:cs="Times New Roman"/>
          <w:sz w:val="24"/>
          <w:szCs w:val="24"/>
        </w:rPr>
        <w:t xml:space="preserve">and negatively treat any given precedent. Finally, longer treatment opinions contain more negative treatments and </w:t>
      </w:r>
      <w:r w:rsidRPr="00DB7FD1">
        <w:rPr>
          <w:rFonts w:ascii="Times New Roman" w:hAnsi="Times New Roman" w:cs="Times New Roman"/>
          <w:sz w:val="24"/>
          <w:szCs w:val="24"/>
        </w:rPr>
        <w:t>citations, and the</w:t>
      </w:r>
      <w:r w:rsidRPr="00624B31">
        <w:rPr>
          <w:rFonts w:ascii="Times New Roman" w:hAnsi="Times New Roman" w:cs="Times New Roman"/>
          <w:sz w:val="24"/>
          <w:szCs w:val="24"/>
        </w:rPr>
        <w:t xml:space="preserve"> more precedents available from which to choose, the less likely any is to be negatively treated or cited.</w:t>
      </w:r>
    </w:p>
    <w:p w:rsidR="006876B5" w:rsidRPr="00624B31" w:rsidRDefault="006876B5" w:rsidP="006400FB">
      <w:pPr>
        <w:pStyle w:val="Heading20"/>
        <w:keepNext/>
        <w:keepLines/>
        <w:shd w:val="clear" w:color="auto" w:fill="auto"/>
        <w:spacing w:before="0" w:after="0" w:line="480" w:lineRule="auto"/>
        <w:ind w:firstLine="31"/>
        <w:rPr>
          <w:rFonts w:ascii="Times New Roman" w:hAnsi="Times New Roman" w:cs="Times New Roman"/>
          <w:sz w:val="24"/>
          <w:szCs w:val="24"/>
        </w:rPr>
      </w:pPr>
      <w:bookmarkStart w:id="5" w:name="bookmark9"/>
    </w:p>
    <w:p w:rsidR="00C95181" w:rsidRPr="00624B31" w:rsidRDefault="00B90DEA" w:rsidP="006400FB">
      <w:pPr>
        <w:pStyle w:val="Heading20"/>
        <w:keepNext/>
        <w:keepLines/>
        <w:shd w:val="clear" w:color="auto" w:fill="auto"/>
        <w:spacing w:before="0" w:after="0" w:line="480" w:lineRule="auto"/>
        <w:ind w:firstLine="31"/>
        <w:rPr>
          <w:rFonts w:ascii="Times New Roman" w:hAnsi="Times New Roman" w:cs="Times New Roman"/>
          <w:b/>
          <w:sz w:val="24"/>
          <w:szCs w:val="24"/>
        </w:rPr>
      </w:pPr>
      <w:r w:rsidRPr="00624B31">
        <w:rPr>
          <w:rFonts w:ascii="Times New Roman" w:hAnsi="Times New Roman" w:cs="Times New Roman"/>
          <w:b/>
          <w:sz w:val="24"/>
          <w:szCs w:val="24"/>
        </w:rPr>
        <w:t>Discussion and Conclusions</w:t>
      </w:r>
      <w:bookmarkEnd w:id="5"/>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A long line of research on how circuit judges interact provides insight into the ways panel configuration influences case outcomes. Judges do not vote in consistent patterns regardless of who else is serving with them on a panel. To the contrary, the institutional context creates an environment in which judges influence one another. The evidence provided here indicates that such influence extends beyond the conference discussion when the three judges sit in the same room to discuss the resolution of the case face-to-face. Even after the assigned author has returned to her own chambers in her own city, the identity and ideology of the other two panel members continue to play a role. While authors undoubtedly exercise discretion in how they craft an opinion to reach a designated result, that discretion is not unconstrained. Moreover, whether and how authors exercise such discretion ultimately has a cumulative effect that shapes the course of law in each circuit.</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The central contribution of this article is the finding that authors only rely upon their own ideology to make negative treatment and citation decisions about binding circuit precedent when the panel is fully staffed with their ideological allies. There is no evidence that authors with only one such ally rely on their own ideology, even though only one additional vote is needed to support the majority opinion. This pattern likely reflects the reality that a single disgruntled colleague can drag out the opinion-writing process by asking for revisions or by writing a separate opinion that prompts a response within the majority opinion. Consequently, ideological diversity on a panel is likely to lead to higher levels of both accommodation and anticipation. Accommodation occurs when another judge requests a revision to the draft majority opinion and the author is willing to </w:t>
      </w:r>
      <w:r w:rsidR="006876B5" w:rsidRPr="00624B31">
        <w:rPr>
          <w:rFonts w:ascii="Times New Roman" w:hAnsi="Times New Roman" w:cs="Times New Roman"/>
          <w:sz w:val="24"/>
          <w:szCs w:val="24"/>
        </w:rPr>
        <w:t>make the change or able to nego</w:t>
      </w:r>
      <w:r w:rsidRPr="00624B31">
        <w:rPr>
          <w:rFonts w:ascii="Times New Roman" w:hAnsi="Times New Roman" w:cs="Times New Roman"/>
          <w:sz w:val="24"/>
          <w:szCs w:val="24"/>
        </w:rPr>
        <w:t xml:space="preserve">tiate a mutually acceptable revision. Anticipation occurs when the author on a split panel anticipates that behaving ideologically will simply generate requests for revision and, therefore, reins in his own ideology </w:t>
      </w:r>
      <w:r w:rsidRPr="00624B31">
        <w:rPr>
          <w:rStyle w:val="Bodytext2Italic"/>
          <w:rFonts w:ascii="Times New Roman" w:hAnsi="Times New Roman" w:cs="Times New Roman"/>
          <w:sz w:val="24"/>
          <w:szCs w:val="24"/>
        </w:rPr>
        <w:t>a priori</w:t>
      </w:r>
      <w:r w:rsidRPr="00624B31">
        <w:rPr>
          <w:rFonts w:ascii="Times New Roman" w:hAnsi="Times New Roman" w:cs="Times New Roman"/>
          <w:sz w:val="24"/>
          <w:szCs w:val="24"/>
        </w:rPr>
        <w:t xml:space="preserve"> in the interest of efficiency. Regardless of whether accommodation or anticipation is most frequent, they both lead to the observed result that unified and split panels result in different types of majority opinions. The </w:t>
      </w:r>
      <w:r w:rsidRPr="00624B31">
        <w:rPr>
          <w:rStyle w:val="Bodytext2Spacing-1pt0"/>
          <w:rFonts w:ascii="Times New Roman" w:hAnsi="Times New Roman" w:cs="Times New Roman"/>
          <w:spacing w:val="0"/>
          <w:sz w:val="24"/>
          <w:szCs w:val="24"/>
        </w:rPr>
        <w:t>author’s</w:t>
      </w:r>
      <w:r w:rsidRPr="00624B31">
        <w:rPr>
          <w:rFonts w:ascii="Times New Roman" w:hAnsi="Times New Roman" w:cs="Times New Roman"/>
          <w:sz w:val="24"/>
          <w:szCs w:val="24"/>
        </w:rPr>
        <w:t xml:space="preserve"> ideology is a significant predictor of how precedent is used in the former, but not the latter.</w:t>
      </w:r>
    </w:p>
    <w:p w:rsidR="00C95181" w:rsidRPr="00624B31" w:rsidRDefault="00B90DEA" w:rsidP="006400FB">
      <w:pPr>
        <w:pStyle w:val="Bodytext20"/>
        <w:shd w:val="clear" w:color="auto" w:fill="auto"/>
        <w:spacing w:before="0" w:line="480" w:lineRule="auto"/>
        <w:ind w:firstLine="389"/>
        <w:rPr>
          <w:rFonts w:ascii="Times New Roman" w:hAnsi="Times New Roman" w:cs="Times New Roman"/>
          <w:sz w:val="24"/>
          <w:szCs w:val="24"/>
        </w:rPr>
      </w:pPr>
      <w:r w:rsidRPr="00624B31">
        <w:rPr>
          <w:rFonts w:ascii="Times New Roman" w:hAnsi="Times New Roman" w:cs="Times New Roman"/>
          <w:sz w:val="24"/>
          <w:szCs w:val="24"/>
        </w:rPr>
        <w:t>Panel effects appear to operate on opinion crafting in a similar manner to how they influence case outcomes. Even the presence of a sing</w:t>
      </w:r>
      <w:r w:rsidR="000B6ACE">
        <w:rPr>
          <w:rFonts w:ascii="Times New Roman" w:hAnsi="Times New Roman" w:cs="Times New Roman"/>
          <w:sz w:val="24"/>
          <w:szCs w:val="24"/>
        </w:rPr>
        <w:t>l</w:t>
      </w:r>
      <w:r w:rsidRPr="00624B31">
        <w:rPr>
          <w:rFonts w:ascii="Times New Roman" w:hAnsi="Times New Roman" w:cs="Times New Roman"/>
          <w:sz w:val="24"/>
          <w:szCs w:val="24"/>
        </w:rPr>
        <w:t xml:space="preserve">e judge has an effect. For both voting and opinion crafting this finding can likely be explained by some combination of </w:t>
      </w:r>
      <w:r w:rsidRPr="000B6ACE">
        <w:rPr>
          <w:rFonts w:ascii="Times New Roman" w:hAnsi="Times New Roman" w:cs="Times New Roman"/>
          <w:sz w:val="24"/>
          <w:szCs w:val="24"/>
        </w:rPr>
        <w:t xml:space="preserve">deliberative and strategic effects generated by the institutional structure of circuit courts. Heavy caseloads, limited resources, and repeated collegial interactions all increase the utility of playing nicely. The similar patterns in voting and opinion crafting are also likely driven by the common influence of legal doctrine on both. In one of the most prominent studies of panel effects, Cross and Tiller </w:t>
      </w:r>
      <w:r w:rsidRPr="000B6ACE">
        <w:rPr>
          <w:rStyle w:val="Bodytext2Spacing-1pt0"/>
          <w:rFonts w:ascii="Times New Roman" w:hAnsi="Times New Roman" w:cs="Times New Roman"/>
          <w:spacing w:val="0"/>
          <w:sz w:val="24"/>
          <w:szCs w:val="24"/>
        </w:rPr>
        <w:t>(1998)</w:t>
      </w:r>
      <w:r w:rsidRPr="000B6ACE">
        <w:rPr>
          <w:rFonts w:ascii="Times New Roman" w:hAnsi="Times New Roman" w:cs="Times New Roman"/>
          <w:sz w:val="24"/>
          <w:szCs w:val="24"/>
        </w:rPr>
        <w:t xml:space="preserve"> examined</w:t>
      </w:r>
      <w:r w:rsidRPr="00624B31">
        <w:rPr>
          <w:rFonts w:ascii="Times New Roman" w:hAnsi="Times New Roman" w:cs="Times New Roman"/>
          <w:sz w:val="24"/>
          <w:szCs w:val="24"/>
        </w:rPr>
        <w:t xml:space="preserve"> case outcomes in an empirical context that directly mapped case outcomes to legal doctrine. By investigating the presence or absence of deference to an administrative agency in post-</w:t>
      </w:r>
      <w:r w:rsidRPr="00624B31">
        <w:rPr>
          <w:rStyle w:val="Bodytext2Italic"/>
          <w:rFonts w:ascii="Times New Roman" w:hAnsi="Times New Roman" w:cs="Times New Roman"/>
          <w:sz w:val="24"/>
          <w:szCs w:val="24"/>
        </w:rPr>
        <w:t>Chevron</w:t>
      </w:r>
      <w:r w:rsidRPr="00624B31">
        <w:rPr>
          <w:rFonts w:ascii="Times New Roman" w:hAnsi="Times New Roman" w:cs="Times New Roman"/>
          <w:sz w:val="24"/>
          <w:szCs w:val="24"/>
        </w:rPr>
        <w:t xml:space="preserve"> cases, they were able to study panel effects in a context that directly pitted each </w:t>
      </w:r>
      <w:r w:rsidRPr="00624B31">
        <w:rPr>
          <w:rStyle w:val="Bodytext2Spacing-1pt0"/>
          <w:rFonts w:ascii="Times New Roman" w:hAnsi="Times New Roman" w:cs="Times New Roman"/>
          <w:spacing w:val="0"/>
          <w:sz w:val="24"/>
          <w:szCs w:val="24"/>
        </w:rPr>
        <w:t>judge’s</w:t>
      </w:r>
      <w:r w:rsidRPr="00624B31">
        <w:rPr>
          <w:rFonts w:ascii="Times New Roman" w:hAnsi="Times New Roman" w:cs="Times New Roman"/>
          <w:sz w:val="24"/>
          <w:szCs w:val="24"/>
        </w:rPr>
        <w:t xml:space="preserve"> ideological preferences against the dictates of existing law. The data explored here provide similar insight. Not only is there evidence of panel effects on opinion crafting, but that evidence takes the form of directly juxtaposing the impact of ideology with the impact of the legal doctrine of stare decisis that makes all relevant in-circuit precedents binding. Like </w:t>
      </w:r>
      <w:r w:rsidRPr="00624B31">
        <w:rPr>
          <w:rStyle w:val="Bodytext2Italic"/>
          <w:rFonts w:ascii="Times New Roman" w:hAnsi="Times New Roman" w:cs="Times New Roman"/>
          <w:sz w:val="24"/>
          <w:szCs w:val="24"/>
        </w:rPr>
        <w:t>Chevron</w:t>
      </w:r>
      <w:r w:rsidRPr="00624B31">
        <w:rPr>
          <w:rFonts w:ascii="Times New Roman" w:hAnsi="Times New Roman" w:cs="Times New Roman"/>
          <w:sz w:val="24"/>
          <w:szCs w:val="24"/>
        </w:rPr>
        <w:t xml:space="preserve"> deference, stare decisis does not provide a definitive answer for every specific legal question. But it does provide a baseline expectation against which to measure the countervailing influence of ideological preferences.</w:t>
      </w:r>
    </w:p>
    <w:p w:rsidR="00C95181" w:rsidRPr="00624B31" w:rsidRDefault="00B90DEA" w:rsidP="006400FB">
      <w:pPr>
        <w:pStyle w:val="Bodytext20"/>
        <w:shd w:val="clear" w:color="auto" w:fill="auto"/>
        <w:spacing w:before="0" w:line="480" w:lineRule="auto"/>
        <w:ind w:firstLine="389"/>
        <w:rPr>
          <w:rFonts w:ascii="Times New Roman" w:hAnsi="Times New Roman" w:cs="Times New Roman"/>
          <w:sz w:val="24"/>
          <w:szCs w:val="24"/>
        </w:rPr>
      </w:pPr>
      <w:r w:rsidRPr="00624B31">
        <w:rPr>
          <w:rFonts w:ascii="Times New Roman" w:hAnsi="Times New Roman" w:cs="Times New Roman"/>
          <w:sz w:val="24"/>
          <w:szCs w:val="24"/>
        </w:rPr>
        <w:t>The findings here should serve as a starting point for a more widespread analysis of panel effects on opinion crafting. Factors such as issue area, caseload, salience, and specialization may very well drive the extent of an</w:t>
      </w:r>
      <w:r w:rsidR="000573F2" w:rsidRPr="00624B31">
        <w:rPr>
          <w:rFonts w:ascii="Times New Roman" w:hAnsi="Times New Roman" w:cs="Times New Roman"/>
          <w:sz w:val="24"/>
          <w:szCs w:val="24"/>
        </w:rPr>
        <w:t xml:space="preserve"> author’s</w:t>
      </w:r>
      <w:r w:rsidRPr="00624B31">
        <w:rPr>
          <w:rFonts w:ascii="Times New Roman" w:hAnsi="Times New Roman" w:cs="Times New Roman"/>
          <w:sz w:val="24"/>
          <w:szCs w:val="24"/>
        </w:rPr>
        <w:t xml:space="preserve"> discretion and how much panel type constrains that discretion. Different hierarchical configurations of preferences may also lead to different</w:t>
      </w:r>
      <w:r w:rsidR="002F49E2" w:rsidRPr="00624B31">
        <w:rPr>
          <w:rFonts w:ascii="Times New Roman" w:hAnsi="Times New Roman" w:cs="Times New Roman"/>
          <w:sz w:val="24"/>
          <w:szCs w:val="24"/>
        </w:rPr>
        <w:t xml:space="preserve"> </w:t>
      </w:r>
      <w:r w:rsidRPr="00624B31">
        <w:rPr>
          <w:rFonts w:ascii="Times New Roman" w:hAnsi="Times New Roman" w:cs="Times New Roman"/>
          <w:sz w:val="24"/>
          <w:szCs w:val="24"/>
        </w:rPr>
        <w:t xml:space="preserve">types of panel effects on opinion crafting. In addition, different patterns might explain panel effects based on judicial characteristics such as sex and race. Panel effects might also manifest differently when a visiting or senior judge participate on a panel. The role of the opinion author and the influence exerted upon them by the other members of the panel might be different in these areas. Although there was no difference found here between split panels when the counterjudge was the author or not, different patterns may emerge when examining the role of female, minority, visiting, or senior authors. Theoretical grounds will be somewhat </w:t>
      </w:r>
      <w:r w:rsidRPr="000B6ACE">
        <w:rPr>
          <w:rFonts w:ascii="Times New Roman" w:hAnsi="Times New Roman" w:cs="Times New Roman"/>
          <w:sz w:val="24"/>
          <w:szCs w:val="24"/>
        </w:rPr>
        <w:t>different,</w:t>
      </w:r>
      <w:r w:rsidRPr="00624B31">
        <w:rPr>
          <w:rFonts w:ascii="Times New Roman" w:hAnsi="Times New Roman" w:cs="Times New Roman"/>
          <w:sz w:val="24"/>
          <w:szCs w:val="24"/>
        </w:rPr>
        <w:t xml:space="preserve"> but the same reasons for looking at authorship and opinion content still apply. These are all issues ripe for elaboration.</w:t>
      </w:r>
    </w:p>
    <w:p w:rsidR="00C95181" w:rsidRPr="00624B31" w:rsidRDefault="00B90DEA" w:rsidP="006400FB">
      <w:pPr>
        <w:pStyle w:val="Bodytext20"/>
        <w:shd w:val="clear" w:color="auto" w:fill="auto"/>
        <w:spacing w:before="0" w:line="480" w:lineRule="auto"/>
        <w:ind w:firstLine="384"/>
        <w:rPr>
          <w:rFonts w:ascii="Times New Roman" w:hAnsi="Times New Roman" w:cs="Times New Roman"/>
          <w:sz w:val="24"/>
          <w:szCs w:val="24"/>
        </w:rPr>
      </w:pPr>
      <w:r w:rsidRPr="00624B31">
        <w:rPr>
          <w:rFonts w:ascii="Times New Roman" w:hAnsi="Times New Roman" w:cs="Times New Roman"/>
          <w:sz w:val="24"/>
          <w:szCs w:val="24"/>
        </w:rPr>
        <w:t xml:space="preserve">This paper is focused on the consequences rather than the causes of opinion assignment. But one of the implications of the findings here is that the question of what drives opinion assignment in the circuit courts might be more important in some contexts than others. Authors do wield considerable power, but that power is curtailed in the case of split panels. The corollary of any limits on an </w:t>
      </w:r>
      <w:r w:rsidRPr="00624B31">
        <w:rPr>
          <w:rStyle w:val="Bodytext2Spacing-1pt0"/>
          <w:rFonts w:ascii="Times New Roman" w:hAnsi="Times New Roman" w:cs="Times New Roman"/>
          <w:spacing w:val="0"/>
          <w:sz w:val="24"/>
          <w:szCs w:val="24"/>
        </w:rPr>
        <w:t>author’s</w:t>
      </w:r>
      <w:r w:rsidRPr="00624B31">
        <w:rPr>
          <w:rFonts w:ascii="Times New Roman" w:hAnsi="Times New Roman" w:cs="Times New Roman"/>
          <w:sz w:val="24"/>
          <w:szCs w:val="24"/>
        </w:rPr>
        <w:t xml:space="preserve"> discretion is the corresponding reduction in the importance of the opinion-assigning power. The implication is that the power of assigning authorship duties may not be quite as important in the institutional milieu of a circuit panel as </w:t>
      </w:r>
      <w:r w:rsidRPr="000B6ACE">
        <w:rPr>
          <w:rFonts w:ascii="Times New Roman" w:hAnsi="Times New Roman" w:cs="Times New Roman"/>
          <w:sz w:val="24"/>
          <w:szCs w:val="24"/>
        </w:rPr>
        <w:t xml:space="preserve">it would be if authors were less constrained. This may provide part of the explanation for the finding of </w:t>
      </w:r>
      <w:proofErr w:type="spellStart"/>
      <w:r w:rsidRPr="000B6ACE">
        <w:rPr>
          <w:rFonts w:ascii="Times New Roman" w:hAnsi="Times New Roman" w:cs="Times New Roman"/>
          <w:sz w:val="24"/>
          <w:szCs w:val="24"/>
        </w:rPr>
        <w:t>Farhang</w:t>
      </w:r>
      <w:proofErr w:type="spellEnd"/>
      <w:r w:rsidRPr="000B6ACE">
        <w:rPr>
          <w:rFonts w:ascii="Times New Roman" w:hAnsi="Times New Roman" w:cs="Times New Roman"/>
          <w:sz w:val="24"/>
          <w:szCs w:val="24"/>
        </w:rPr>
        <w:t xml:space="preserve">, et. al. </w:t>
      </w:r>
      <w:r w:rsidRPr="000B6ACE">
        <w:rPr>
          <w:rStyle w:val="Bodytext2Spacing-1pt0"/>
          <w:rFonts w:ascii="Times New Roman" w:hAnsi="Times New Roman" w:cs="Times New Roman"/>
          <w:spacing w:val="0"/>
          <w:sz w:val="24"/>
          <w:szCs w:val="24"/>
        </w:rPr>
        <w:t>(2015</w:t>
      </w:r>
      <w:r w:rsidRPr="00624B31">
        <w:rPr>
          <w:rStyle w:val="Bodytext2Spacing-1pt0"/>
          <w:rFonts w:ascii="Times New Roman" w:hAnsi="Times New Roman" w:cs="Times New Roman"/>
          <w:spacing w:val="0"/>
          <w:sz w:val="24"/>
          <w:szCs w:val="24"/>
        </w:rPr>
        <w:t>)</w:t>
      </w:r>
      <w:r w:rsidRPr="00624B31">
        <w:rPr>
          <w:rFonts w:ascii="Times New Roman" w:hAnsi="Times New Roman" w:cs="Times New Roman"/>
          <w:sz w:val="24"/>
          <w:szCs w:val="24"/>
        </w:rPr>
        <w:t xml:space="preserve"> that the </w:t>
      </w:r>
      <w:r w:rsidRPr="00624B31">
        <w:rPr>
          <w:rStyle w:val="Bodytext2Spacing-1pt0"/>
          <w:rFonts w:ascii="Times New Roman" w:hAnsi="Times New Roman" w:cs="Times New Roman"/>
          <w:spacing w:val="0"/>
          <w:sz w:val="24"/>
          <w:szCs w:val="24"/>
        </w:rPr>
        <w:t>assignor’s</w:t>
      </w:r>
      <w:r w:rsidRPr="00624B31">
        <w:rPr>
          <w:rFonts w:ascii="Times New Roman" w:hAnsi="Times New Roman" w:cs="Times New Roman"/>
          <w:sz w:val="24"/>
          <w:szCs w:val="24"/>
        </w:rPr>
        <w:t xml:space="preserve"> ideology does not significantly predict opinion assignment on circuit panels. Contrary to what research at the Supreme Court level has shown, they find that opinion assignment on circuit panels appears to follow a collegial process in which the opinion assignor tends to grant requests made by their colleagues. The connections between opinion assignment and panel effects are complicated. Do authors defer in order to preserve their continued ability to request authorship assignments? Or are opinion assignors willing to grant requests knowing that efficiency concerns and oversight from other panel members will constrain any author from drifting too far from what their colleagues prefer? While this will be challenging to disentangle, it is a complexity well worth tackling in future work.</w:t>
      </w:r>
    </w:p>
    <w:p w:rsidR="00C95181" w:rsidRPr="00624B31" w:rsidRDefault="00C95181" w:rsidP="006400FB">
      <w:pPr>
        <w:pStyle w:val="Heading30"/>
        <w:keepNext/>
        <w:keepLines/>
        <w:shd w:val="clear" w:color="auto" w:fill="auto"/>
        <w:spacing w:before="0" w:line="480" w:lineRule="auto"/>
        <w:ind w:firstLine="0"/>
        <w:jc w:val="center"/>
        <w:rPr>
          <w:rFonts w:ascii="Times New Roman" w:hAnsi="Times New Roman" w:cs="Times New Roman"/>
          <w:sz w:val="24"/>
          <w:szCs w:val="24"/>
        </w:rPr>
        <w:sectPr w:rsidR="00C95181" w:rsidRPr="00624B31">
          <w:footerReference w:type="default" r:id="rId8"/>
          <w:pgSz w:w="12240" w:h="15840"/>
          <w:pgMar w:top="1440" w:right="1440" w:bottom="1440" w:left="1440" w:header="0" w:gutter="0"/>
          <w:pgNumType w:start="1"/>
          <w:noEndnote/>
          <w:docGrid w:linePitch="360"/>
        </w:sectPr>
      </w:pPr>
    </w:p>
    <w:p w:rsidR="00C95181" w:rsidRPr="00624B31" w:rsidRDefault="00B90DEA" w:rsidP="006400FB">
      <w:pPr>
        <w:pStyle w:val="Heading20"/>
        <w:keepNext/>
        <w:keepLines/>
        <w:shd w:val="clear" w:color="auto" w:fill="auto"/>
        <w:spacing w:before="0" w:after="0" w:line="480" w:lineRule="auto"/>
        <w:ind w:left="260"/>
        <w:rPr>
          <w:rFonts w:ascii="Times New Roman" w:hAnsi="Times New Roman" w:cs="Times New Roman"/>
          <w:b/>
          <w:sz w:val="24"/>
          <w:szCs w:val="24"/>
        </w:rPr>
      </w:pPr>
      <w:bookmarkStart w:id="6" w:name="bookmark12"/>
      <w:r w:rsidRPr="00624B31">
        <w:rPr>
          <w:rFonts w:ascii="Times New Roman" w:hAnsi="Times New Roman" w:cs="Times New Roman"/>
          <w:b/>
          <w:sz w:val="24"/>
          <w:szCs w:val="24"/>
        </w:rPr>
        <w:t>References</w:t>
      </w:r>
      <w:bookmarkEnd w:id="6"/>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Aldisert</w:t>
      </w:r>
      <w:proofErr w:type="spellEnd"/>
      <w:r w:rsidRPr="00624B31">
        <w:rPr>
          <w:rFonts w:ascii="Times New Roman" w:hAnsi="Times New Roman" w:cs="Times New Roman"/>
          <w:sz w:val="24"/>
          <w:szCs w:val="24"/>
        </w:rPr>
        <w:t xml:space="preserve">, R. J. </w:t>
      </w:r>
      <w:r w:rsidRPr="00624B31">
        <w:rPr>
          <w:rStyle w:val="Bodytext2Spacing-1pt0"/>
          <w:rFonts w:ascii="Times New Roman" w:hAnsi="Times New Roman" w:cs="Times New Roman"/>
          <w:spacing w:val="0"/>
          <w:sz w:val="24"/>
          <w:szCs w:val="24"/>
        </w:rPr>
        <w:t>(1989).</w:t>
      </w:r>
      <w:r w:rsidRPr="00624B31">
        <w:rPr>
          <w:rFonts w:ascii="Times New Roman" w:hAnsi="Times New Roman" w:cs="Times New Roman"/>
          <w:sz w:val="24"/>
          <w:szCs w:val="24"/>
        </w:rPr>
        <w:t xml:space="preserve"> Precedent: What It Is and What It </w:t>
      </w:r>
      <w:r w:rsidRPr="00624B31">
        <w:rPr>
          <w:rStyle w:val="Bodytext2Spacing-1pt0"/>
          <w:rFonts w:ascii="Times New Roman" w:hAnsi="Times New Roman" w:cs="Times New Roman"/>
          <w:spacing w:val="0"/>
          <w:sz w:val="24"/>
          <w:szCs w:val="24"/>
        </w:rPr>
        <w:t>Isn’t:</w:t>
      </w:r>
      <w:r w:rsidRPr="00624B31">
        <w:rPr>
          <w:rFonts w:ascii="Times New Roman" w:hAnsi="Times New Roman" w:cs="Times New Roman"/>
          <w:sz w:val="24"/>
          <w:szCs w:val="24"/>
        </w:rPr>
        <w:t xml:space="preserve"> When Do We Kiss It and When Do We Kill It. </w:t>
      </w:r>
      <w:r w:rsidRPr="00624B31">
        <w:rPr>
          <w:rStyle w:val="Bodytext2Italic"/>
          <w:rFonts w:ascii="Times New Roman" w:hAnsi="Times New Roman" w:cs="Times New Roman"/>
          <w:sz w:val="24"/>
          <w:szCs w:val="24"/>
        </w:rPr>
        <w:t xml:space="preserve">Pepperdine Law Review </w:t>
      </w:r>
      <w:r w:rsidRPr="005965D5">
        <w:rPr>
          <w:rStyle w:val="Bodytext2Italic"/>
          <w:rFonts w:ascii="Times New Roman" w:hAnsi="Times New Roman" w:cs="Times New Roman"/>
          <w:i w:val="0"/>
          <w:sz w:val="24"/>
          <w:szCs w:val="24"/>
        </w:rPr>
        <w:t>17</w:t>
      </w:r>
      <w:bookmarkStart w:id="7" w:name="_GoBack"/>
      <w:r w:rsidRPr="006C2AA7">
        <w:rPr>
          <w:rStyle w:val="Bodytext2Italic"/>
          <w:rFonts w:ascii="Times New Roman" w:hAnsi="Times New Roman" w:cs="Times New Roman"/>
          <w:i w:val="0"/>
          <w:sz w:val="24"/>
          <w:szCs w:val="24"/>
        </w:rPr>
        <w:t>(3),</w:t>
      </w:r>
      <w:r w:rsidRPr="00624B31">
        <w:rPr>
          <w:rFonts w:ascii="Times New Roman" w:hAnsi="Times New Roman" w:cs="Times New Roman"/>
          <w:sz w:val="24"/>
          <w:szCs w:val="24"/>
        </w:rPr>
        <w:t xml:space="preserve"> </w:t>
      </w:r>
      <w:bookmarkEnd w:id="7"/>
      <w:r w:rsidRPr="00624B31">
        <w:rPr>
          <w:rStyle w:val="Bodytext2Spacing-1pt0"/>
          <w:rFonts w:ascii="Times New Roman" w:hAnsi="Times New Roman" w:cs="Times New Roman"/>
          <w:spacing w:val="0"/>
          <w:sz w:val="24"/>
          <w:szCs w:val="24"/>
        </w:rPr>
        <w:t>605-636.</w:t>
      </w:r>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Barnett, S. R. </w:t>
      </w:r>
      <w:r w:rsidRPr="00624B31">
        <w:rPr>
          <w:rStyle w:val="Bodytext2Spacing-1pt0"/>
          <w:rFonts w:ascii="Times New Roman" w:hAnsi="Times New Roman" w:cs="Times New Roman"/>
          <w:spacing w:val="0"/>
          <w:sz w:val="24"/>
          <w:szCs w:val="24"/>
        </w:rPr>
        <w:t>(2002).</w:t>
      </w:r>
      <w:r w:rsidRPr="00624B31">
        <w:rPr>
          <w:rFonts w:ascii="Times New Roman" w:hAnsi="Times New Roman" w:cs="Times New Roman"/>
          <w:sz w:val="24"/>
          <w:szCs w:val="24"/>
        </w:rPr>
        <w:t xml:space="preserve"> From </w:t>
      </w:r>
      <w:proofErr w:type="spellStart"/>
      <w:r w:rsidRPr="000B6ACE">
        <w:rPr>
          <w:rStyle w:val="Bodytext2Italic"/>
          <w:rFonts w:ascii="Times New Roman" w:hAnsi="Times New Roman" w:cs="Times New Roman"/>
          <w:sz w:val="24"/>
          <w:szCs w:val="24"/>
        </w:rPr>
        <w:t>Anastasoff</w:t>
      </w:r>
      <w:proofErr w:type="spellEnd"/>
      <w:r w:rsidRPr="000B6ACE">
        <w:rPr>
          <w:rFonts w:ascii="Times New Roman" w:hAnsi="Times New Roman" w:cs="Times New Roman"/>
          <w:sz w:val="24"/>
          <w:szCs w:val="24"/>
        </w:rPr>
        <w:t xml:space="preserve"> to </w:t>
      </w:r>
      <w:r w:rsidRPr="000B6ACE">
        <w:rPr>
          <w:rStyle w:val="Bodytext2Italic"/>
          <w:rFonts w:ascii="Times New Roman" w:hAnsi="Times New Roman" w:cs="Times New Roman"/>
          <w:sz w:val="24"/>
          <w:szCs w:val="24"/>
        </w:rPr>
        <w:t>Hart</w:t>
      </w:r>
      <w:r w:rsidRPr="000B6ACE">
        <w:rPr>
          <w:rFonts w:ascii="Times New Roman" w:hAnsi="Times New Roman" w:cs="Times New Roman"/>
          <w:sz w:val="24"/>
          <w:szCs w:val="24"/>
        </w:rPr>
        <w:t xml:space="preserve"> to </w:t>
      </w:r>
      <w:r w:rsidRPr="000B6ACE">
        <w:rPr>
          <w:rStyle w:val="Bodytext2Italic"/>
          <w:rFonts w:ascii="Times New Roman" w:hAnsi="Times New Roman" w:cs="Times New Roman"/>
          <w:sz w:val="24"/>
          <w:szCs w:val="24"/>
        </w:rPr>
        <w:t>West’s Federal Appendix:</w:t>
      </w:r>
      <w:r w:rsidRPr="000B6ACE">
        <w:rPr>
          <w:rFonts w:ascii="Times New Roman" w:hAnsi="Times New Roman" w:cs="Times New Roman"/>
          <w:sz w:val="24"/>
          <w:szCs w:val="24"/>
        </w:rPr>
        <w:t xml:space="preserve"> The Ground Shifts Under No-Citation Rules. </w:t>
      </w:r>
      <w:proofErr w:type="gramStart"/>
      <w:r w:rsidRPr="000B6ACE">
        <w:rPr>
          <w:rStyle w:val="Bodytext2Italic"/>
          <w:rFonts w:ascii="Times New Roman" w:hAnsi="Times New Roman" w:cs="Times New Roman"/>
          <w:sz w:val="24"/>
          <w:szCs w:val="24"/>
        </w:rPr>
        <w:t xml:space="preserve">Journal of Appellate Practice &amp; Process </w:t>
      </w:r>
      <w:r w:rsidRPr="005965D5">
        <w:rPr>
          <w:rStyle w:val="Bodytext2Italic"/>
          <w:rFonts w:ascii="Times New Roman" w:hAnsi="Times New Roman" w:cs="Times New Roman"/>
          <w:i w:val="0"/>
          <w:sz w:val="24"/>
          <w:szCs w:val="24"/>
        </w:rPr>
        <w:t>4</w:t>
      </w:r>
      <w:r w:rsidRPr="006C2AA7">
        <w:rPr>
          <w:rStyle w:val="Bodytext2Italic"/>
          <w:rFonts w:ascii="Times New Roman" w:hAnsi="Times New Roman" w:cs="Times New Roman"/>
          <w:i w:val="0"/>
          <w:sz w:val="24"/>
          <w:szCs w:val="24"/>
        </w:rPr>
        <w:t>(1),</w:t>
      </w:r>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1</w:t>
      </w:r>
      <w:r w:rsidRPr="00624B31">
        <w:rPr>
          <w:rStyle w:val="Bodytext2Spacing-1pt0"/>
          <w:rFonts w:ascii="Times New Roman" w:hAnsi="Times New Roman" w:cs="Times New Roman"/>
          <w:spacing w:val="0"/>
          <w:sz w:val="24"/>
          <w:szCs w:val="24"/>
        </w:rPr>
        <w:t>-26.</w:t>
      </w:r>
      <w:proofErr w:type="gramEnd"/>
    </w:p>
    <w:p w:rsidR="00C95181" w:rsidRPr="00624B31" w:rsidRDefault="00B90DEA" w:rsidP="006400FB">
      <w:pPr>
        <w:pStyle w:val="Bodytext50"/>
        <w:shd w:val="clear" w:color="auto" w:fill="auto"/>
        <w:spacing w:before="0" w:after="0" w:line="480" w:lineRule="auto"/>
        <w:ind w:left="260" w:hanging="231"/>
        <w:rPr>
          <w:rFonts w:ascii="Times New Roman" w:hAnsi="Times New Roman" w:cs="Times New Roman"/>
          <w:sz w:val="24"/>
          <w:szCs w:val="24"/>
        </w:rPr>
      </w:pPr>
      <w:r w:rsidRPr="00624B31">
        <w:rPr>
          <w:rStyle w:val="Bodytext5NotItalic"/>
          <w:rFonts w:ascii="Times New Roman" w:hAnsi="Times New Roman" w:cs="Times New Roman"/>
          <w:sz w:val="24"/>
          <w:szCs w:val="24"/>
        </w:rPr>
        <w:t>Barrow</w:t>
      </w:r>
      <w:r w:rsidRPr="000B6ACE">
        <w:rPr>
          <w:rStyle w:val="Bodytext5NotItalic"/>
          <w:rFonts w:ascii="Times New Roman" w:hAnsi="Times New Roman" w:cs="Times New Roman"/>
          <w:sz w:val="24"/>
          <w:szCs w:val="24"/>
        </w:rPr>
        <w:t xml:space="preserve">, D. J. and T. G. Walker </w:t>
      </w:r>
      <w:r w:rsidRPr="000B6ACE">
        <w:rPr>
          <w:rStyle w:val="Bodytext5NotItalic0"/>
          <w:rFonts w:ascii="Times New Roman" w:hAnsi="Times New Roman" w:cs="Times New Roman"/>
          <w:spacing w:val="0"/>
          <w:sz w:val="24"/>
          <w:szCs w:val="24"/>
        </w:rPr>
        <w:t xml:space="preserve">(1988). </w:t>
      </w:r>
      <w:r w:rsidRPr="000B6ACE">
        <w:rPr>
          <w:rFonts w:ascii="Times New Roman" w:hAnsi="Times New Roman" w:cs="Times New Roman"/>
          <w:sz w:val="24"/>
          <w:szCs w:val="24"/>
        </w:rPr>
        <w:t>A Court Divided: The Fifth Circuit Court of Appeals and the Politics of Judicial Reform.</w:t>
      </w:r>
      <w:r w:rsidRPr="000B6ACE">
        <w:rPr>
          <w:rStyle w:val="Bodytext5NotItalic0"/>
          <w:rFonts w:ascii="Times New Roman" w:hAnsi="Times New Roman" w:cs="Times New Roman"/>
          <w:spacing w:val="0"/>
          <w:sz w:val="24"/>
          <w:szCs w:val="24"/>
        </w:rPr>
        <w:t xml:space="preserve"> Yale</w:t>
      </w:r>
      <w:r w:rsidRPr="00624B31">
        <w:rPr>
          <w:rStyle w:val="Bodytext5NotItalic"/>
          <w:rFonts w:ascii="Times New Roman" w:hAnsi="Times New Roman" w:cs="Times New Roman"/>
          <w:sz w:val="24"/>
          <w:szCs w:val="24"/>
        </w:rPr>
        <w:t xml:space="preserve"> University Press New Haven.</w:t>
      </w:r>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0B6ACE">
        <w:rPr>
          <w:rFonts w:ascii="Times New Roman" w:hAnsi="Times New Roman" w:cs="Times New Roman"/>
          <w:sz w:val="24"/>
          <w:szCs w:val="24"/>
        </w:rPr>
        <w:t>Beim</w:t>
      </w:r>
      <w:proofErr w:type="spellEnd"/>
      <w:r w:rsidRPr="000B6ACE">
        <w:rPr>
          <w:rFonts w:ascii="Times New Roman" w:hAnsi="Times New Roman" w:cs="Times New Roman"/>
          <w:sz w:val="24"/>
          <w:szCs w:val="24"/>
        </w:rPr>
        <w:t xml:space="preserve">, D., A. V. Hirsch, and J. P. </w:t>
      </w:r>
      <w:proofErr w:type="spellStart"/>
      <w:r w:rsidRPr="000B6ACE">
        <w:rPr>
          <w:rFonts w:ascii="Times New Roman" w:hAnsi="Times New Roman" w:cs="Times New Roman"/>
          <w:sz w:val="24"/>
          <w:szCs w:val="24"/>
        </w:rPr>
        <w:t>Kastellec</w:t>
      </w:r>
      <w:proofErr w:type="spellEnd"/>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(2014).</w:t>
      </w:r>
      <w:r w:rsidRPr="000B6ACE">
        <w:rPr>
          <w:rFonts w:ascii="Times New Roman" w:hAnsi="Times New Roman" w:cs="Times New Roman"/>
          <w:sz w:val="24"/>
          <w:szCs w:val="24"/>
        </w:rPr>
        <w:t xml:space="preserve"> Whistleblowing and Compliance in the Judicial Hierarchy. </w:t>
      </w:r>
      <w:proofErr w:type="gramStart"/>
      <w:r w:rsidRPr="000B6ACE">
        <w:rPr>
          <w:rStyle w:val="Bodytext2Italic"/>
          <w:rFonts w:ascii="Times New Roman" w:hAnsi="Times New Roman" w:cs="Times New Roman"/>
          <w:sz w:val="24"/>
          <w:szCs w:val="24"/>
        </w:rPr>
        <w:t xml:space="preserve">American Journal of Political Science </w:t>
      </w:r>
      <w:r w:rsidRPr="005965D5">
        <w:rPr>
          <w:rStyle w:val="Bodytext2Italic"/>
          <w:rFonts w:ascii="Times New Roman" w:hAnsi="Times New Roman" w:cs="Times New Roman"/>
          <w:i w:val="0"/>
          <w:sz w:val="24"/>
          <w:szCs w:val="24"/>
        </w:rPr>
        <w:t>58</w:t>
      </w:r>
      <w:r w:rsidR="006C2AA7">
        <w:rPr>
          <w:rStyle w:val="Bodytext2Italic"/>
          <w:rFonts w:ascii="Times New Roman" w:hAnsi="Times New Roman" w:cs="Times New Roman"/>
          <w:i w:val="0"/>
          <w:sz w:val="24"/>
          <w:szCs w:val="24"/>
        </w:rPr>
        <w:t>(4</w:t>
      </w:r>
      <w:r w:rsidRPr="006C2AA7">
        <w:rPr>
          <w:rStyle w:val="Bodytext2Italic"/>
          <w:rFonts w:ascii="Times New Roman" w:hAnsi="Times New Roman" w:cs="Times New Roman"/>
          <w:i w:val="0"/>
          <w:sz w:val="24"/>
          <w:szCs w:val="24"/>
        </w:rPr>
        <w:t>),</w:t>
      </w:r>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904-9</w:t>
      </w:r>
      <w:r w:rsidRPr="00624B31">
        <w:rPr>
          <w:rStyle w:val="Bodytext2Spacing-1pt0"/>
          <w:rFonts w:ascii="Times New Roman" w:hAnsi="Times New Roman" w:cs="Times New Roman"/>
          <w:spacing w:val="0"/>
          <w:sz w:val="24"/>
          <w:szCs w:val="24"/>
        </w:rPr>
        <w:t>18.</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Beim</w:t>
      </w:r>
      <w:proofErr w:type="spellEnd"/>
      <w:r w:rsidRPr="000B6ACE">
        <w:rPr>
          <w:rFonts w:ascii="Times New Roman" w:hAnsi="Times New Roman" w:cs="Times New Roman"/>
          <w:sz w:val="24"/>
          <w:szCs w:val="24"/>
        </w:rPr>
        <w:t xml:space="preserve">, D., A. V. Hirsch, and J. P. </w:t>
      </w:r>
      <w:proofErr w:type="spellStart"/>
      <w:r w:rsidRPr="000B6ACE">
        <w:rPr>
          <w:rFonts w:ascii="Times New Roman" w:hAnsi="Times New Roman" w:cs="Times New Roman"/>
          <w:sz w:val="24"/>
          <w:szCs w:val="24"/>
        </w:rPr>
        <w:t>Kastellec</w:t>
      </w:r>
      <w:proofErr w:type="spellEnd"/>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(2016).</w:t>
      </w:r>
      <w:r w:rsidRPr="000B6ACE">
        <w:rPr>
          <w:rFonts w:ascii="Times New Roman" w:hAnsi="Times New Roman" w:cs="Times New Roman"/>
          <w:sz w:val="24"/>
          <w:szCs w:val="24"/>
        </w:rPr>
        <w:t xml:space="preserve"> Signaling and Counter-Signaling in the Judicial Hierarchy: An Empirical</w:t>
      </w:r>
      <w:r w:rsidRPr="00624B31">
        <w:rPr>
          <w:rFonts w:ascii="Times New Roman" w:hAnsi="Times New Roman" w:cs="Times New Roman"/>
          <w:sz w:val="24"/>
          <w:szCs w:val="24"/>
        </w:rPr>
        <w:t xml:space="preserve"> Analysis of En Banc Review. </w:t>
      </w:r>
      <w:proofErr w:type="gramStart"/>
      <w:r w:rsidRPr="00624B31">
        <w:rPr>
          <w:rStyle w:val="Bodytext2Italic"/>
          <w:rFonts w:ascii="Times New Roman" w:hAnsi="Times New Roman" w:cs="Times New Roman"/>
          <w:sz w:val="24"/>
          <w:szCs w:val="24"/>
        </w:rPr>
        <w:t xml:space="preserve">American Journal of Political Science </w:t>
      </w:r>
      <w:r w:rsidRPr="005965D5">
        <w:rPr>
          <w:rStyle w:val="Bodytext2Italic"/>
          <w:rFonts w:ascii="Times New Roman" w:hAnsi="Times New Roman" w:cs="Times New Roman"/>
          <w:i w:val="0"/>
          <w:sz w:val="24"/>
          <w:szCs w:val="24"/>
        </w:rPr>
        <w:t>60</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490-508.</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Beim</w:t>
      </w:r>
      <w:proofErr w:type="spellEnd"/>
      <w:r w:rsidRPr="00624B31">
        <w:rPr>
          <w:rFonts w:ascii="Times New Roman" w:hAnsi="Times New Roman" w:cs="Times New Roman"/>
          <w:sz w:val="24"/>
          <w:szCs w:val="24"/>
        </w:rPr>
        <w:t xml:space="preserve">, D. and J. P. </w:t>
      </w:r>
      <w:proofErr w:type="spellStart"/>
      <w:r w:rsidRPr="00624B31">
        <w:rPr>
          <w:rFonts w:ascii="Times New Roman" w:hAnsi="Times New Roman" w:cs="Times New Roman"/>
          <w:sz w:val="24"/>
          <w:szCs w:val="24"/>
        </w:rPr>
        <w:t>Kastellec</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(2014).</w:t>
      </w:r>
      <w:r w:rsidRPr="00624B31">
        <w:rPr>
          <w:rFonts w:ascii="Times New Roman" w:hAnsi="Times New Roman" w:cs="Times New Roman"/>
          <w:sz w:val="24"/>
          <w:szCs w:val="24"/>
        </w:rPr>
        <w:t xml:space="preserve"> The Interplay of Ideological Diversity, Dissents, and Discretionary Review in the Judicial Hierarchy: Evidence from Death Penalty Cases. </w:t>
      </w:r>
      <w:proofErr w:type="gramStart"/>
      <w:r w:rsidRPr="00624B31">
        <w:rPr>
          <w:rStyle w:val="Bodytext2Italic"/>
          <w:rFonts w:ascii="Times New Roman" w:hAnsi="Times New Roman" w:cs="Times New Roman"/>
          <w:sz w:val="24"/>
          <w:szCs w:val="24"/>
        </w:rPr>
        <w:t xml:space="preserve">The Journal of Politics </w:t>
      </w:r>
      <w:r w:rsidRPr="005965D5">
        <w:rPr>
          <w:rStyle w:val="Bodytext2Italic"/>
          <w:rFonts w:ascii="Times New Roman" w:hAnsi="Times New Roman" w:cs="Times New Roman"/>
          <w:i w:val="0"/>
          <w:sz w:val="24"/>
          <w:szCs w:val="24"/>
        </w:rPr>
        <w:t>76</w:t>
      </w:r>
      <w:r w:rsidR="006C2AA7">
        <w:rPr>
          <w:rStyle w:val="Bodytext2Italic"/>
          <w:rFonts w:ascii="Times New Roman" w:hAnsi="Times New Roman" w:cs="Times New Roman"/>
          <w:i w:val="0"/>
          <w:sz w:val="24"/>
          <w:szCs w:val="24"/>
        </w:rPr>
        <w:t>(4</w:t>
      </w:r>
      <w:r w:rsidRPr="006C2AA7">
        <w:rPr>
          <w:rStyle w:val="Bodytext2Italic"/>
          <w:rFonts w:ascii="Times New Roman" w:hAnsi="Times New Roman" w:cs="Times New Roman"/>
          <w:i w:val="0"/>
          <w:sz w:val="24"/>
          <w:szCs w:val="24"/>
        </w:rPr>
        <w:t>),</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1074-1088.</w:t>
      </w:r>
      <w:proofErr w:type="gramEnd"/>
    </w:p>
    <w:p w:rsidR="00C95181" w:rsidRPr="00624B31" w:rsidRDefault="00EA0DEF"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DD04E3">
        <w:rPr>
          <w:rFonts w:ascii="Times New Roman" w:hAnsi="Times New Roman" w:cs="Times New Roman"/>
          <w:sz w:val="24"/>
          <w:szCs w:val="24"/>
        </w:rPr>
        <w:t>Berdej</w:t>
      </w:r>
      <w:r>
        <w:rPr>
          <w:rFonts w:ascii="Times New Roman" w:hAnsi="Times New Roman" w:cs="Times New Roman"/>
          <w:sz w:val="24"/>
          <w:szCs w:val="24"/>
        </w:rPr>
        <w:t>ó</w:t>
      </w:r>
      <w:proofErr w:type="spellEnd"/>
      <w:r w:rsidR="00B90DEA" w:rsidRPr="000B6ACE">
        <w:rPr>
          <w:rFonts w:ascii="Times New Roman" w:hAnsi="Times New Roman" w:cs="Times New Roman"/>
          <w:sz w:val="24"/>
          <w:szCs w:val="24"/>
        </w:rPr>
        <w:t xml:space="preserve">, C. </w:t>
      </w:r>
      <w:r w:rsidR="00B90DEA" w:rsidRPr="000B6ACE">
        <w:rPr>
          <w:rStyle w:val="Bodytext2Spacing-1pt0"/>
          <w:rFonts w:ascii="Times New Roman" w:hAnsi="Times New Roman" w:cs="Times New Roman"/>
          <w:spacing w:val="0"/>
          <w:sz w:val="24"/>
          <w:szCs w:val="24"/>
        </w:rPr>
        <w:t xml:space="preserve">(2013). </w:t>
      </w:r>
      <w:r w:rsidR="00B90DEA" w:rsidRPr="000B6ACE">
        <w:rPr>
          <w:rStyle w:val="Bodytext2Spacing-2pt"/>
          <w:rFonts w:ascii="Times New Roman" w:hAnsi="Times New Roman" w:cs="Times New Roman"/>
          <w:spacing w:val="0"/>
          <w:sz w:val="24"/>
          <w:szCs w:val="24"/>
        </w:rPr>
        <w:t>It’s</w:t>
      </w:r>
      <w:r w:rsidR="00B90DEA" w:rsidRPr="000B6ACE">
        <w:rPr>
          <w:rFonts w:ascii="Times New Roman" w:hAnsi="Times New Roman" w:cs="Times New Roman"/>
          <w:sz w:val="24"/>
          <w:szCs w:val="24"/>
        </w:rPr>
        <w:t xml:space="preserve"> the Journey, Not the Destination: Judicial Preferences and the Decision-Making Process. </w:t>
      </w:r>
      <w:proofErr w:type="gramStart"/>
      <w:r w:rsidR="00B90DEA" w:rsidRPr="000B6ACE">
        <w:rPr>
          <w:rStyle w:val="Bodytext2Italic"/>
          <w:rFonts w:ascii="Times New Roman" w:hAnsi="Times New Roman" w:cs="Times New Roman"/>
          <w:sz w:val="24"/>
          <w:szCs w:val="24"/>
        </w:rPr>
        <w:t xml:space="preserve">University of Louisville Law Review </w:t>
      </w:r>
      <w:r w:rsidR="00B90DEA" w:rsidRPr="005965D5">
        <w:rPr>
          <w:rStyle w:val="Bodytext2Italic"/>
          <w:rFonts w:ascii="Times New Roman" w:hAnsi="Times New Roman" w:cs="Times New Roman"/>
          <w:i w:val="0"/>
          <w:sz w:val="24"/>
          <w:szCs w:val="24"/>
        </w:rPr>
        <w:t>51</w:t>
      </w:r>
      <w:r w:rsidR="00B90DEA" w:rsidRPr="006C2AA7">
        <w:rPr>
          <w:rStyle w:val="Bodytext2Italic"/>
          <w:rFonts w:ascii="Times New Roman" w:hAnsi="Times New Roman" w:cs="Times New Roman"/>
          <w:i w:val="0"/>
          <w:sz w:val="24"/>
          <w:szCs w:val="24"/>
        </w:rPr>
        <w:t>(2),</w:t>
      </w:r>
      <w:r w:rsidR="00B90DEA" w:rsidRPr="000B6ACE">
        <w:rPr>
          <w:rFonts w:ascii="Times New Roman" w:hAnsi="Times New Roman" w:cs="Times New Roman"/>
          <w:sz w:val="24"/>
          <w:szCs w:val="24"/>
        </w:rPr>
        <w:t xml:space="preserve"> </w:t>
      </w:r>
      <w:r w:rsidR="00B90DEA" w:rsidRPr="000B6ACE">
        <w:rPr>
          <w:rStyle w:val="Bodytext2Spacing-1pt0"/>
          <w:rFonts w:ascii="Times New Roman" w:hAnsi="Times New Roman" w:cs="Times New Roman"/>
          <w:spacing w:val="0"/>
          <w:sz w:val="24"/>
          <w:szCs w:val="24"/>
        </w:rPr>
        <w:t>271-321.</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Black, R. C. and J. F.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II </w:t>
      </w:r>
      <w:r w:rsidRPr="00624B31">
        <w:rPr>
          <w:rStyle w:val="Bodytext2Spacing-1pt0"/>
          <w:rFonts w:ascii="Times New Roman" w:hAnsi="Times New Roman" w:cs="Times New Roman"/>
          <w:spacing w:val="0"/>
          <w:sz w:val="24"/>
          <w:szCs w:val="24"/>
        </w:rPr>
        <w:t>(2008).</w:t>
      </w:r>
      <w:r w:rsidRPr="00624B31">
        <w:rPr>
          <w:rFonts w:ascii="Times New Roman" w:hAnsi="Times New Roman" w:cs="Times New Roman"/>
          <w:sz w:val="24"/>
          <w:szCs w:val="24"/>
        </w:rPr>
        <w:t xml:space="preserve"> An Empirical Analysis of the Trends, Determinants, and Effects of the Length of Majority Opinions of the U.S. Supreme Court. </w:t>
      </w:r>
      <w:r w:rsidRPr="00624B31">
        <w:rPr>
          <w:rStyle w:val="Bodytext2Italic"/>
          <w:rFonts w:ascii="Times New Roman" w:hAnsi="Times New Roman" w:cs="Times New Roman"/>
          <w:sz w:val="24"/>
          <w:szCs w:val="24"/>
        </w:rPr>
        <w:t>Houston Law</w:t>
      </w:r>
    </w:p>
    <w:p w:rsidR="00C95181" w:rsidRPr="00624B31" w:rsidRDefault="00B90DEA" w:rsidP="006400FB">
      <w:pPr>
        <w:pStyle w:val="Bodytext50"/>
        <w:shd w:val="clear" w:color="auto" w:fill="auto"/>
        <w:spacing w:before="0" w:after="0" w:line="480" w:lineRule="auto"/>
        <w:ind w:left="260" w:firstLine="2"/>
        <w:jc w:val="left"/>
        <w:rPr>
          <w:rFonts w:ascii="Times New Roman" w:hAnsi="Times New Roman" w:cs="Times New Roman"/>
          <w:sz w:val="24"/>
          <w:szCs w:val="24"/>
        </w:rPr>
      </w:pPr>
      <w:proofErr w:type="gramStart"/>
      <w:r w:rsidRPr="005965D5">
        <w:rPr>
          <w:rFonts w:ascii="Times New Roman" w:hAnsi="Times New Roman" w:cs="Times New Roman"/>
          <w:sz w:val="24"/>
          <w:szCs w:val="24"/>
        </w:rPr>
        <w:t>Review</w:t>
      </w:r>
      <w:r w:rsidRPr="005965D5">
        <w:rPr>
          <w:rFonts w:ascii="Times New Roman" w:hAnsi="Times New Roman" w:cs="Times New Roman"/>
          <w:i w:val="0"/>
          <w:sz w:val="24"/>
          <w:szCs w:val="24"/>
        </w:rPr>
        <w:t xml:space="preserve"> 45</w:t>
      </w:r>
      <w:r w:rsidRPr="006C2AA7">
        <w:rPr>
          <w:rFonts w:ascii="Times New Roman" w:hAnsi="Times New Roman" w:cs="Times New Roman"/>
          <w:i w:val="0"/>
          <w:sz w:val="24"/>
          <w:szCs w:val="24"/>
        </w:rPr>
        <w:t>(3),</w:t>
      </w:r>
      <w:r w:rsidRPr="00624B31">
        <w:rPr>
          <w:rStyle w:val="Bodytext5NotItalic"/>
          <w:rFonts w:ascii="Times New Roman" w:hAnsi="Times New Roman" w:cs="Times New Roman"/>
          <w:sz w:val="24"/>
          <w:szCs w:val="24"/>
        </w:rPr>
        <w:t xml:space="preserve"> </w:t>
      </w:r>
      <w:r w:rsidRPr="00624B31">
        <w:rPr>
          <w:rStyle w:val="Bodytext5NotItalic0"/>
          <w:rFonts w:ascii="Times New Roman" w:hAnsi="Times New Roman" w:cs="Times New Roman"/>
          <w:spacing w:val="0"/>
          <w:sz w:val="24"/>
          <w:szCs w:val="24"/>
        </w:rPr>
        <w:t>621-682.</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Black, R. C. and J. F.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II </w:t>
      </w:r>
      <w:r w:rsidRPr="00624B31">
        <w:rPr>
          <w:rStyle w:val="Bodytext2Spacing-1pt0"/>
          <w:rFonts w:ascii="Times New Roman" w:hAnsi="Times New Roman" w:cs="Times New Roman"/>
          <w:spacing w:val="0"/>
          <w:sz w:val="24"/>
          <w:szCs w:val="24"/>
        </w:rPr>
        <w:t>(2013).</w:t>
      </w:r>
      <w:r w:rsidRPr="00624B31">
        <w:rPr>
          <w:rFonts w:ascii="Times New Roman" w:hAnsi="Times New Roman" w:cs="Times New Roman"/>
          <w:sz w:val="24"/>
          <w:szCs w:val="24"/>
        </w:rPr>
        <w:t xml:space="preserve"> The Citation and Depreciation of U.S. Supreme Court Precedent. </w:t>
      </w:r>
      <w:proofErr w:type="gramStart"/>
      <w:r w:rsidRPr="00624B31">
        <w:rPr>
          <w:rStyle w:val="Bodytext2Italic"/>
          <w:rFonts w:ascii="Times New Roman" w:hAnsi="Times New Roman" w:cs="Times New Roman"/>
          <w:sz w:val="24"/>
          <w:szCs w:val="24"/>
        </w:rPr>
        <w:t xml:space="preserve">Journal of Empirical Legal Studies </w:t>
      </w:r>
      <w:r w:rsidRPr="005965D5">
        <w:rPr>
          <w:rStyle w:val="Bodytext2Italic"/>
          <w:rFonts w:ascii="Times New Roman" w:hAnsi="Times New Roman" w:cs="Times New Roman"/>
          <w:i w:val="0"/>
          <w:sz w:val="24"/>
          <w:szCs w:val="24"/>
        </w:rPr>
        <w:t>10</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325-358.</w:t>
      </w:r>
      <w:proofErr w:type="gramEnd"/>
    </w:p>
    <w:p w:rsidR="00C95181" w:rsidRPr="00624B31" w:rsidRDefault="00B90DEA" w:rsidP="006400FB">
      <w:pPr>
        <w:pStyle w:val="Bodytext50"/>
        <w:shd w:val="clear" w:color="auto" w:fill="auto"/>
        <w:spacing w:before="0" w:after="0" w:line="480" w:lineRule="auto"/>
        <w:ind w:left="260" w:hanging="231"/>
        <w:rPr>
          <w:rFonts w:ascii="Times New Roman" w:hAnsi="Times New Roman" w:cs="Times New Roman"/>
          <w:sz w:val="24"/>
          <w:szCs w:val="24"/>
        </w:rPr>
      </w:pPr>
      <w:proofErr w:type="spellStart"/>
      <w:r w:rsidRPr="00624B31">
        <w:rPr>
          <w:rStyle w:val="Bodytext5NotItalic"/>
          <w:rFonts w:ascii="Times New Roman" w:hAnsi="Times New Roman" w:cs="Times New Roman"/>
          <w:sz w:val="24"/>
          <w:szCs w:val="24"/>
        </w:rPr>
        <w:t>Borooah</w:t>
      </w:r>
      <w:proofErr w:type="spellEnd"/>
      <w:r w:rsidRPr="00624B31">
        <w:rPr>
          <w:rStyle w:val="Bodytext5NotItalic"/>
          <w:rFonts w:ascii="Times New Roman" w:hAnsi="Times New Roman" w:cs="Times New Roman"/>
          <w:sz w:val="24"/>
          <w:szCs w:val="24"/>
        </w:rPr>
        <w:t xml:space="preserve">, V. K. </w:t>
      </w:r>
      <w:r w:rsidRPr="00624B31">
        <w:rPr>
          <w:rStyle w:val="Bodytext5NotItalic0"/>
          <w:rFonts w:ascii="Times New Roman" w:hAnsi="Times New Roman" w:cs="Times New Roman"/>
          <w:spacing w:val="0"/>
          <w:sz w:val="24"/>
          <w:szCs w:val="24"/>
        </w:rPr>
        <w:t>(2002).</w:t>
      </w:r>
      <w:r w:rsidRPr="00624B31">
        <w:rPr>
          <w:rStyle w:val="Bodytext5NotItalic"/>
          <w:rFonts w:ascii="Times New Roman" w:hAnsi="Times New Roman" w:cs="Times New Roman"/>
          <w:sz w:val="24"/>
          <w:szCs w:val="24"/>
        </w:rPr>
        <w:t xml:space="preserve"> </w:t>
      </w:r>
      <w:r w:rsidRPr="00624B31">
        <w:rPr>
          <w:rFonts w:ascii="Times New Roman" w:hAnsi="Times New Roman" w:cs="Times New Roman"/>
          <w:sz w:val="24"/>
          <w:szCs w:val="24"/>
        </w:rPr>
        <w:t xml:space="preserve">Logit and </w:t>
      </w:r>
      <w:proofErr w:type="spellStart"/>
      <w:r w:rsidRPr="00624B31">
        <w:rPr>
          <w:rFonts w:ascii="Times New Roman" w:hAnsi="Times New Roman" w:cs="Times New Roman"/>
          <w:sz w:val="24"/>
          <w:szCs w:val="24"/>
        </w:rPr>
        <w:t>Probit</w:t>
      </w:r>
      <w:proofErr w:type="spellEnd"/>
      <w:r w:rsidRPr="00624B31">
        <w:rPr>
          <w:rFonts w:ascii="Times New Roman" w:hAnsi="Times New Roman" w:cs="Times New Roman"/>
          <w:sz w:val="24"/>
          <w:szCs w:val="24"/>
        </w:rPr>
        <w:t>: Ordered and Multinomial Models.</w:t>
      </w:r>
      <w:r w:rsidRPr="00624B31">
        <w:rPr>
          <w:rStyle w:val="Bodytext5NotItalic"/>
          <w:rFonts w:ascii="Times New Roman" w:hAnsi="Times New Roman" w:cs="Times New Roman"/>
          <w:sz w:val="24"/>
          <w:szCs w:val="24"/>
        </w:rPr>
        <w:t xml:space="preserve"> Number </w:t>
      </w:r>
      <w:r w:rsidRPr="00624B31">
        <w:rPr>
          <w:rStyle w:val="Bodytext5NotItalic0"/>
          <w:rFonts w:ascii="Times New Roman" w:hAnsi="Times New Roman" w:cs="Times New Roman"/>
          <w:spacing w:val="0"/>
          <w:sz w:val="24"/>
          <w:szCs w:val="24"/>
        </w:rPr>
        <w:t xml:space="preserve">138. </w:t>
      </w:r>
      <w:r w:rsidRPr="00624B31">
        <w:rPr>
          <w:rStyle w:val="Bodytext5NotItalic"/>
          <w:rFonts w:ascii="Times New Roman" w:hAnsi="Times New Roman" w:cs="Times New Roman"/>
          <w:sz w:val="24"/>
          <w:szCs w:val="24"/>
        </w:rPr>
        <w:t>Sage.</w:t>
      </w:r>
    </w:p>
    <w:p w:rsidR="00C95181" w:rsidRPr="00624B31" w:rsidRDefault="00B90DEA" w:rsidP="006400FB">
      <w:pPr>
        <w:pStyle w:val="Bodytext50"/>
        <w:shd w:val="clear" w:color="auto" w:fill="auto"/>
        <w:spacing w:before="0" w:after="0" w:line="480" w:lineRule="auto"/>
        <w:ind w:left="260" w:hanging="231"/>
        <w:rPr>
          <w:rFonts w:ascii="Times New Roman" w:hAnsi="Times New Roman" w:cs="Times New Roman"/>
          <w:sz w:val="24"/>
          <w:szCs w:val="24"/>
        </w:rPr>
      </w:pPr>
      <w:r w:rsidRPr="00624B31">
        <w:rPr>
          <w:rStyle w:val="Bodytext5NotItalic"/>
          <w:rFonts w:ascii="Times New Roman" w:hAnsi="Times New Roman" w:cs="Times New Roman"/>
          <w:sz w:val="24"/>
          <w:szCs w:val="24"/>
        </w:rPr>
        <w:t>Bowie, J</w:t>
      </w:r>
      <w:r w:rsidRPr="000B6ACE">
        <w:rPr>
          <w:rStyle w:val="Bodytext5NotItalic"/>
          <w:rFonts w:ascii="Times New Roman" w:hAnsi="Times New Roman" w:cs="Times New Roman"/>
          <w:sz w:val="24"/>
          <w:szCs w:val="24"/>
        </w:rPr>
        <w:t xml:space="preserve">. B., D. R. </w:t>
      </w:r>
      <w:proofErr w:type="spellStart"/>
      <w:r w:rsidRPr="000B6ACE">
        <w:rPr>
          <w:rStyle w:val="Bodytext5NotItalic"/>
          <w:rFonts w:ascii="Times New Roman" w:hAnsi="Times New Roman" w:cs="Times New Roman"/>
          <w:sz w:val="24"/>
          <w:szCs w:val="24"/>
        </w:rPr>
        <w:t>Songer</w:t>
      </w:r>
      <w:proofErr w:type="spellEnd"/>
      <w:r w:rsidRPr="000B6ACE">
        <w:rPr>
          <w:rStyle w:val="Bodytext5NotItalic"/>
          <w:rFonts w:ascii="Times New Roman" w:hAnsi="Times New Roman" w:cs="Times New Roman"/>
          <w:sz w:val="24"/>
          <w:szCs w:val="24"/>
        </w:rPr>
        <w:t xml:space="preserve">, and J. </w:t>
      </w:r>
      <w:proofErr w:type="spellStart"/>
      <w:r w:rsidRPr="000B6ACE">
        <w:rPr>
          <w:rStyle w:val="Bodytext5NotItalic"/>
          <w:rFonts w:ascii="Times New Roman" w:hAnsi="Times New Roman" w:cs="Times New Roman"/>
          <w:sz w:val="24"/>
          <w:szCs w:val="24"/>
        </w:rPr>
        <w:t>Szmer</w:t>
      </w:r>
      <w:proofErr w:type="spellEnd"/>
      <w:r w:rsidRPr="000B6ACE">
        <w:rPr>
          <w:rStyle w:val="Bodytext5NotItalic"/>
          <w:rFonts w:ascii="Times New Roman" w:hAnsi="Times New Roman" w:cs="Times New Roman"/>
          <w:sz w:val="24"/>
          <w:szCs w:val="24"/>
        </w:rPr>
        <w:t xml:space="preserve"> </w:t>
      </w:r>
      <w:r w:rsidRPr="000B6ACE">
        <w:rPr>
          <w:rStyle w:val="Bodytext5NotItalic0"/>
          <w:rFonts w:ascii="Times New Roman" w:hAnsi="Times New Roman" w:cs="Times New Roman"/>
          <w:spacing w:val="0"/>
          <w:sz w:val="24"/>
          <w:szCs w:val="24"/>
        </w:rPr>
        <w:t>(2014).</w:t>
      </w:r>
      <w:r w:rsidRPr="000B6ACE">
        <w:rPr>
          <w:rStyle w:val="Bodytext5NotItalic"/>
          <w:rFonts w:ascii="Times New Roman" w:hAnsi="Times New Roman" w:cs="Times New Roman"/>
          <w:sz w:val="24"/>
          <w:szCs w:val="24"/>
        </w:rPr>
        <w:t xml:space="preserve"> </w:t>
      </w:r>
      <w:r w:rsidRPr="000B6ACE">
        <w:rPr>
          <w:rFonts w:ascii="Times New Roman" w:hAnsi="Times New Roman" w:cs="Times New Roman"/>
          <w:sz w:val="24"/>
          <w:szCs w:val="24"/>
        </w:rPr>
        <w:t>The View from the Bench and Chambers: Examining Judicial</w:t>
      </w:r>
      <w:r w:rsidRPr="00624B31">
        <w:rPr>
          <w:rFonts w:ascii="Times New Roman" w:hAnsi="Times New Roman" w:cs="Times New Roman"/>
          <w:sz w:val="24"/>
          <w:szCs w:val="24"/>
        </w:rPr>
        <w:t xml:space="preserve"> Process and Decision Making on the US Courts of Appeals.</w:t>
      </w:r>
      <w:r w:rsidRPr="00624B31">
        <w:rPr>
          <w:rStyle w:val="Bodytext5NotItalic"/>
          <w:rFonts w:ascii="Times New Roman" w:hAnsi="Times New Roman" w:cs="Times New Roman"/>
          <w:sz w:val="24"/>
          <w:szCs w:val="24"/>
        </w:rPr>
        <w:t xml:space="preserve"> University of Virginia Press.</w:t>
      </w:r>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Boyd, C</w:t>
      </w:r>
      <w:r w:rsidRPr="000B6ACE">
        <w:rPr>
          <w:rFonts w:ascii="Times New Roman" w:hAnsi="Times New Roman" w:cs="Times New Roman"/>
          <w:sz w:val="24"/>
          <w:szCs w:val="24"/>
        </w:rPr>
        <w:t xml:space="preserve">. L., L. Epstein, and A. D. Martin </w:t>
      </w:r>
      <w:r w:rsidRPr="000B6ACE">
        <w:rPr>
          <w:rStyle w:val="Bodytext2Spacing-1pt0"/>
          <w:rFonts w:ascii="Times New Roman" w:hAnsi="Times New Roman" w:cs="Times New Roman"/>
          <w:spacing w:val="0"/>
          <w:sz w:val="24"/>
          <w:szCs w:val="24"/>
        </w:rPr>
        <w:t>(2010).</w:t>
      </w:r>
      <w:r w:rsidRPr="000B6ACE">
        <w:rPr>
          <w:rFonts w:ascii="Times New Roman" w:hAnsi="Times New Roman" w:cs="Times New Roman"/>
          <w:sz w:val="24"/>
          <w:szCs w:val="24"/>
        </w:rPr>
        <w:t xml:space="preserve"> Untangling the Causal Effects of Sex on Judging. </w:t>
      </w:r>
      <w:proofErr w:type="gramStart"/>
      <w:r w:rsidRPr="000B6ACE">
        <w:rPr>
          <w:rStyle w:val="Bodytext2Italic"/>
          <w:rFonts w:ascii="Times New Roman" w:hAnsi="Times New Roman" w:cs="Times New Roman"/>
          <w:sz w:val="24"/>
          <w:szCs w:val="24"/>
        </w:rPr>
        <w:t xml:space="preserve">American Journal of Political Science </w:t>
      </w:r>
      <w:r w:rsidRPr="005965D5">
        <w:rPr>
          <w:rStyle w:val="Bodytext2Italic"/>
          <w:rFonts w:ascii="Times New Roman" w:hAnsi="Times New Roman" w:cs="Times New Roman"/>
          <w:i w:val="0"/>
          <w:sz w:val="24"/>
          <w:szCs w:val="24"/>
        </w:rPr>
        <w:t>54</w:t>
      </w:r>
      <w:r w:rsidRPr="006C2AA7">
        <w:rPr>
          <w:rStyle w:val="Bodytext2Italic"/>
          <w:rFonts w:ascii="Times New Roman" w:hAnsi="Times New Roman" w:cs="Times New Roman"/>
          <w:i w:val="0"/>
          <w:sz w:val="24"/>
          <w:szCs w:val="24"/>
        </w:rPr>
        <w:t>(2),</w:t>
      </w:r>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389-411.</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Brenner, S. and H. J. </w:t>
      </w:r>
      <w:proofErr w:type="spellStart"/>
      <w:r w:rsidRPr="00624B31">
        <w:rPr>
          <w:rFonts w:ascii="Times New Roman" w:hAnsi="Times New Roman" w:cs="Times New Roman"/>
          <w:sz w:val="24"/>
          <w:szCs w:val="24"/>
        </w:rPr>
        <w:t>Spaeth</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(1986).</w:t>
      </w:r>
      <w:r w:rsidRPr="00624B31">
        <w:rPr>
          <w:rFonts w:ascii="Times New Roman" w:hAnsi="Times New Roman" w:cs="Times New Roman"/>
          <w:sz w:val="24"/>
          <w:szCs w:val="24"/>
        </w:rPr>
        <w:t xml:space="preserve"> Issue Specialization in Majority Opinion Assignment on the Burger Court. </w:t>
      </w:r>
      <w:proofErr w:type="gramStart"/>
      <w:r w:rsidRPr="00624B31">
        <w:rPr>
          <w:rStyle w:val="Bodytext2Italic"/>
          <w:rFonts w:ascii="Times New Roman" w:hAnsi="Times New Roman" w:cs="Times New Roman"/>
          <w:sz w:val="24"/>
          <w:szCs w:val="24"/>
        </w:rPr>
        <w:t xml:space="preserve">Western Political Quarterly </w:t>
      </w:r>
      <w:r w:rsidRPr="005965D5">
        <w:rPr>
          <w:rStyle w:val="Bodytext2Italic"/>
          <w:rFonts w:ascii="Times New Roman" w:hAnsi="Times New Roman" w:cs="Times New Roman"/>
          <w:i w:val="0"/>
          <w:sz w:val="24"/>
          <w:szCs w:val="24"/>
        </w:rPr>
        <w:t>39</w:t>
      </w:r>
      <w:r w:rsidRPr="006C2AA7">
        <w:rPr>
          <w:rStyle w:val="Bodytext2Italic"/>
          <w:rFonts w:ascii="Times New Roman" w:hAnsi="Times New Roman" w:cs="Times New Roman"/>
          <w:i w:val="0"/>
          <w:sz w:val="24"/>
          <w:szCs w:val="24"/>
        </w:rPr>
        <w:t>(3),</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520-525.</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Brudney</w:t>
      </w:r>
      <w:proofErr w:type="spellEnd"/>
      <w:r w:rsidRPr="00624B31">
        <w:rPr>
          <w:rFonts w:ascii="Times New Roman" w:hAnsi="Times New Roman" w:cs="Times New Roman"/>
          <w:sz w:val="24"/>
          <w:szCs w:val="24"/>
        </w:rPr>
        <w:t xml:space="preserve">, J. J. and C. </w:t>
      </w:r>
      <w:proofErr w:type="spellStart"/>
      <w:r w:rsidRPr="00624B31">
        <w:rPr>
          <w:rFonts w:ascii="Times New Roman" w:hAnsi="Times New Roman" w:cs="Times New Roman"/>
          <w:sz w:val="24"/>
          <w:szCs w:val="24"/>
        </w:rPr>
        <w:t>Ditslear</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(2001).</w:t>
      </w:r>
      <w:r w:rsidRPr="00624B31">
        <w:rPr>
          <w:rFonts w:ascii="Times New Roman" w:hAnsi="Times New Roman" w:cs="Times New Roman"/>
          <w:sz w:val="24"/>
          <w:szCs w:val="24"/>
        </w:rPr>
        <w:t xml:space="preserve"> Designated Diffidence: District Court Judges on the Courts of Appeals. </w:t>
      </w:r>
      <w:proofErr w:type="gramStart"/>
      <w:r w:rsidRPr="00624B31">
        <w:rPr>
          <w:rStyle w:val="Bodytext2Italic"/>
          <w:rFonts w:ascii="Times New Roman" w:hAnsi="Times New Roman" w:cs="Times New Roman"/>
          <w:sz w:val="24"/>
          <w:szCs w:val="24"/>
        </w:rPr>
        <w:t xml:space="preserve">Law &amp; Society Review </w:t>
      </w:r>
      <w:r w:rsidRPr="005965D5">
        <w:rPr>
          <w:rStyle w:val="Bodytext2Italic"/>
          <w:rFonts w:ascii="Times New Roman" w:hAnsi="Times New Roman" w:cs="Times New Roman"/>
          <w:i w:val="0"/>
          <w:sz w:val="24"/>
          <w:szCs w:val="24"/>
        </w:rPr>
        <w:t>35</w:t>
      </w:r>
      <w:r w:rsidRPr="00624B31">
        <w:rPr>
          <w:rStyle w:val="Bodytext2Spacing-1pt0"/>
          <w:rFonts w:ascii="Times New Roman" w:hAnsi="Times New Roman" w:cs="Times New Roman"/>
          <w:spacing w:val="0"/>
          <w:sz w:val="24"/>
          <w:szCs w:val="24"/>
        </w:rPr>
        <w:t>(3</w:t>
      </w:r>
      <w:r w:rsidRPr="000B6ACE">
        <w:rPr>
          <w:rStyle w:val="Bodytext2Spacing-1pt0"/>
          <w:rFonts w:ascii="Times New Roman" w:hAnsi="Times New Roman" w:cs="Times New Roman"/>
          <w:spacing w:val="0"/>
          <w:sz w:val="24"/>
          <w:szCs w:val="24"/>
        </w:rPr>
        <w:t xml:space="preserve">), </w:t>
      </w:r>
      <w:r w:rsidRPr="00624B31">
        <w:rPr>
          <w:rStyle w:val="Bodytext2Spacing-1pt0"/>
          <w:rFonts w:ascii="Times New Roman" w:hAnsi="Times New Roman" w:cs="Times New Roman"/>
          <w:spacing w:val="0"/>
          <w:sz w:val="24"/>
          <w:szCs w:val="24"/>
        </w:rPr>
        <w:t>565-606.</w:t>
      </w:r>
      <w:proofErr w:type="gramEnd"/>
    </w:p>
    <w:p w:rsidR="00C3656E"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Cheng, E. K. </w:t>
      </w:r>
      <w:r w:rsidRPr="00624B31">
        <w:rPr>
          <w:rStyle w:val="Bodytext2Spacing-1pt0"/>
          <w:rFonts w:ascii="Times New Roman" w:hAnsi="Times New Roman" w:cs="Times New Roman"/>
          <w:spacing w:val="0"/>
          <w:sz w:val="24"/>
          <w:szCs w:val="24"/>
        </w:rPr>
        <w:t>(</w:t>
      </w:r>
      <w:r w:rsidRPr="000B6ACE">
        <w:rPr>
          <w:rStyle w:val="Bodytext2Spacing-1pt0"/>
          <w:rFonts w:ascii="Times New Roman" w:hAnsi="Times New Roman" w:cs="Times New Roman"/>
          <w:spacing w:val="0"/>
          <w:sz w:val="24"/>
          <w:szCs w:val="24"/>
        </w:rPr>
        <w:t>2008).</w:t>
      </w:r>
      <w:r w:rsidRPr="000B6ACE">
        <w:rPr>
          <w:rFonts w:ascii="Times New Roman" w:hAnsi="Times New Roman" w:cs="Times New Roman"/>
          <w:sz w:val="24"/>
          <w:szCs w:val="24"/>
        </w:rPr>
        <w:t xml:space="preserve"> The</w:t>
      </w:r>
      <w:r w:rsidRPr="00624B31">
        <w:rPr>
          <w:rFonts w:ascii="Times New Roman" w:hAnsi="Times New Roman" w:cs="Times New Roman"/>
          <w:sz w:val="24"/>
          <w:szCs w:val="24"/>
        </w:rPr>
        <w:t xml:space="preserve"> Myth of the Generalist Judge: An Empirical Analysis of Opinion Specialization in the Federal Courts of Appeals. </w:t>
      </w:r>
      <w:proofErr w:type="gramStart"/>
      <w:r w:rsidRPr="00624B31">
        <w:rPr>
          <w:rStyle w:val="Bodytext2Italic"/>
          <w:rFonts w:ascii="Times New Roman" w:hAnsi="Times New Roman" w:cs="Times New Roman"/>
          <w:sz w:val="24"/>
          <w:szCs w:val="24"/>
        </w:rPr>
        <w:t xml:space="preserve">Stanford Law </w:t>
      </w:r>
      <w:proofErr w:type="spellStart"/>
      <w:r w:rsidRPr="00624B31">
        <w:rPr>
          <w:rStyle w:val="Bodytext2Italic"/>
          <w:rFonts w:ascii="Times New Roman" w:hAnsi="Times New Roman" w:cs="Times New Roman"/>
          <w:sz w:val="24"/>
          <w:szCs w:val="24"/>
        </w:rPr>
        <w:t>Reveiw</w:t>
      </w:r>
      <w:proofErr w:type="spellEnd"/>
      <w:r w:rsidRPr="00624B31">
        <w:rPr>
          <w:rStyle w:val="Bodytext2Italic"/>
          <w:rFonts w:ascii="Times New Roman" w:hAnsi="Times New Roman" w:cs="Times New Roman"/>
          <w:sz w:val="24"/>
          <w:szCs w:val="24"/>
        </w:rPr>
        <w:t xml:space="preserve"> </w:t>
      </w:r>
      <w:r w:rsidRPr="005965D5">
        <w:rPr>
          <w:rStyle w:val="Bodytext2Italic"/>
          <w:rFonts w:ascii="Times New Roman" w:hAnsi="Times New Roman" w:cs="Times New Roman"/>
          <w:i w:val="0"/>
          <w:sz w:val="24"/>
          <w:szCs w:val="24"/>
        </w:rPr>
        <w:t>61</w:t>
      </w:r>
      <w:r w:rsidRPr="006C2AA7">
        <w:rPr>
          <w:rStyle w:val="Bodytext2Italic"/>
          <w:rFonts w:ascii="Times New Roman" w:hAnsi="Times New Roman" w:cs="Times New Roman"/>
          <w:i w:val="0"/>
          <w:sz w:val="24"/>
          <w:szCs w:val="24"/>
        </w:rPr>
        <w:t>(3),</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519-572</w:t>
      </w:r>
      <w:r w:rsidRPr="000B6ACE">
        <w:rPr>
          <w:rStyle w:val="Bodytext2Spacing-1pt0"/>
          <w:rFonts w:ascii="Times New Roman" w:hAnsi="Times New Roman" w:cs="Times New Roman"/>
          <w:spacing w:val="0"/>
          <w:sz w:val="24"/>
          <w:szCs w:val="24"/>
        </w:rPr>
        <w:t>.</w:t>
      </w:r>
      <w:proofErr w:type="gramEnd"/>
    </w:p>
    <w:p w:rsidR="00C95181" w:rsidRPr="00624B31" w:rsidRDefault="00C3656E"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 </w:t>
      </w:r>
      <w:r w:rsidR="00B90DEA" w:rsidRPr="00624B31">
        <w:rPr>
          <w:rFonts w:ascii="Times New Roman" w:hAnsi="Times New Roman" w:cs="Times New Roman"/>
          <w:sz w:val="24"/>
          <w:szCs w:val="24"/>
        </w:rPr>
        <w:t xml:space="preserve">Choi, S. J. and G. M. </w:t>
      </w:r>
      <w:r w:rsidR="00B90DEA" w:rsidRPr="000B6ACE">
        <w:rPr>
          <w:rFonts w:ascii="Times New Roman" w:hAnsi="Times New Roman" w:cs="Times New Roman"/>
          <w:sz w:val="24"/>
          <w:szCs w:val="24"/>
        </w:rPr>
        <w:t xml:space="preserve">Gulati </w:t>
      </w:r>
      <w:r w:rsidR="00B90DEA" w:rsidRPr="000B6ACE">
        <w:rPr>
          <w:rStyle w:val="Bodytext2Spacing-1pt0"/>
          <w:rFonts w:ascii="Times New Roman" w:hAnsi="Times New Roman" w:cs="Times New Roman"/>
          <w:spacing w:val="0"/>
          <w:sz w:val="24"/>
          <w:szCs w:val="24"/>
        </w:rPr>
        <w:t>(2007).</w:t>
      </w:r>
      <w:r w:rsidR="00B90DEA" w:rsidRPr="000B6ACE">
        <w:rPr>
          <w:rFonts w:ascii="Times New Roman" w:hAnsi="Times New Roman" w:cs="Times New Roman"/>
          <w:sz w:val="24"/>
          <w:szCs w:val="24"/>
        </w:rPr>
        <w:t xml:space="preserve"> Trading Votes for Reasoning: Covering in Judicial Opinions. </w:t>
      </w:r>
      <w:proofErr w:type="gramStart"/>
      <w:r w:rsidR="00B90DEA" w:rsidRPr="000B6ACE">
        <w:rPr>
          <w:rStyle w:val="Bodytext2Italic"/>
          <w:rFonts w:ascii="Times New Roman" w:hAnsi="Times New Roman" w:cs="Times New Roman"/>
          <w:sz w:val="24"/>
          <w:szCs w:val="24"/>
        </w:rPr>
        <w:t xml:space="preserve">Southern California Law Review </w:t>
      </w:r>
      <w:r w:rsidR="00B90DEA" w:rsidRPr="005965D5">
        <w:rPr>
          <w:rStyle w:val="Bodytext2Italic"/>
          <w:rFonts w:ascii="Times New Roman" w:hAnsi="Times New Roman" w:cs="Times New Roman"/>
          <w:i w:val="0"/>
          <w:sz w:val="24"/>
          <w:szCs w:val="24"/>
        </w:rPr>
        <w:t>81</w:t>
      </w:r>
      <w:r w:rsidR="006C2AA7">
        <w:rPr>
          <w:rStyle w:val="Bodytext2Italic"/>
          <w:rFonts w:ascii="Times New Roman" w:hAnsi="Times New Roman" w:cs="Times New Roman"/>
          <w:i w:val="0"/>
          <w:sz w:val="24"/>
          <w:szCs w:val="24"/>
        </w:rPr>
        <w:t>(4</w:t>
      </w:r>
      <w:r w:rsidR="00B90DEA" w:rsidRPr="006C2AA7">
        <w:rPr>
          <w:rStyle w:val="Bodytext2Italic"/>
          <w:rFonts w:ascii="Times New Roman" w:hAnsi="Times New Roman" w:cs="Times New Roman"/>
          <w:i w:val="0"/>
          <w:sz w:val="24"/>
          <w:szCs w:val="24"/>
        </w:rPr>
        <w:t>),</w:t>
      </w:r>
      <w:r w:rsidR="00B90DEA" w:rsidRPr="000B6ACE">
        <w:rPr>
          <w:rFonts w:ascii="Times New Roman" w:hAnsi="Times New Roman" w:cs="Times New Roman"/>
          <w:sz w:val="24"/>
          <w:szCs w:val="24"/>
        </w:rPr>
        <w:t xml:space="preserve"> </w:t>
      </w:r>
      <w:r w:rsidR="00B90DEA" w:rsidRPr="000B6ACE">
        <w:rPr>
          <w:rStyle w:val="Bodytext2Spacing-1pt0"/>
          <w:rFonts w:ascii="Times New Roman" w:hAnsi="Times New Roman" w:cs="Times New Roman"/>
          <w:spacing w:val="0"/>
          <w:sz w:val="24"/>
          <w:szCs w:val="24"/>
        </w:rPr>
        <w:t>735</w:t>
      </w:r>
      <w:r w:rsidR="00B90DEA" w:rsidRPr="00624B31">
        <w:rPr>
          <w:rStyle w:val="Bodytext2Spacing-1pt0"/>
          <w:rFonts w:ascii="Times New Roman" w:hAnsi="Times New Roman" w:cs="Times New Roman"/>
          <w:spacing w:val="0"/>
          <w:sz w:val="24"/>
          <w:szCs w:val="24"/>
        </w:rPr>
        <w:t>-779.</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 xml:space="preserve">Clark, T. S. and B. Lauderdale </w:t>
      </w:r>
      <w:r w:rsidRPr="00624B31">
        <w:rPr>
          <w:rStyle w:val="Bodytext2Spacing-1pt0"/>
          <w:rFonts w:ascii="Times New Roman" w:hAnsi="Times New Roman" w:cs="Times New Roman"/>
          <w:spacing w:val="0"/>
          <w:sz w:val="24"/>
          <w:szCs w:val="24"/>
        </w:rPr>
        <w:t>(</w:t>
      </w:r>
      <w:r w:rsidRPr="000B6ACE">
        <w:rPr>
          <w:rStyle w:val="Bodytext2Spacing-1pt0"/>
          <w:rFonts w:ascii="Times New Roman" w:hAnsi="Times New Roman" w:cs="Times New Roman"/>
          <w:spacing w:val="0"/>
          <w:sz w:val="24"/>
          <w:szCs w:val="24"/>
        </w:rPr>
        <w:t>2010).</w:t>
      </w:r>
      <w:r w:rsidRPr="000B6ACE">
        <w:rPr>
          <w:rFonts w:ascii="Times New Roman" w:hAnsi="Times New Roman" w:cs="Times New Roman"/>
          <w:sz w:val="24"/>
          <w:szCs w:val="24"/>
        </w:rPr>
        <w:t xml:space="preserve"> Locating Supreme Court Opinions in Doctrine Space. </w:t>
      </w:r>
      <w:proofErr w:type="gramStart"/>
      <w:r w:rsidRPr="000B6ACE">
        <w:rPr>
          <w:rStyle w:val="Bodytext2Italic"/>
          <w:rFonts w:ascii="Times New Roman" w:hAnsi="Times New Roman" w:cs="Times New Roman"/>
          <w:sz w:val="24"/>
          <w:szCs w:val="24"/>
        </w:rPr>
        <w:t xml:space="preserve">American Journal of Political Science </w:t>
      </w:r>
      <w:r w:rsidRPr="005965D5">
        <w:rPr>
          <w:rStyle w:val="Bodytext2Italic"/>
          <w:rFonts w:ascii="Times New Roman" w:hAnsi="Times New Roman" w:cs="Times New Roman"/>
          <w:i w:val="0"/>
          <w:sz w:val="24"/>
          <w:szCs w:val="24"/>
        </w:rPr>
        <w:t>54</w:t>
      </w:r>
      <w:r w:rsidRPr="006C2AA7">
        <w:rPr>
          <w:rStyle w:val="Bodytext2Italic"/>
          <w:rFonts w:ascii="Times New Roman" w:hAnsi="Times New Roman" w:cs="Times New Roman"/>
          <w:i w:val="0"/>
          <w:sz w:val="24"/>
          <w:szCs w:val="24"/>
        </w:rPr>
        <w:t>(4),</w:t>
      </w:r>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871</w:t>
      </w:r>
      <w:r w:rsidRPr="00624B31">
        <w:rPr>
          <w:rStyle w:val="Bodytext2Spacing-1pt0"/>
          <w:rFonts w:ascii="Times New Roman" w:hAnsi="Times New Roman" w:cs="Times New Roman"/>
          <w:spacing w:val="0"/>
          <w:sz w:val="24"/>
          <w:szCs w:val="24"/>
        </w:rPr>
        <w:t>-890.</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 xml:space="preserve">Cross, F. </w:t>
      </w:r>
      <w:r w:rsidRPr="000B6ACE">
        <w:rPr>
          <w:rFonts w:ascii="Times New Roman" w:hAnsi="Times New Roman" w:cs="Times New Roman"/>
          <w:sz w:val="24"/>
          <w:szCs w:val="24"/>
        </w:rPr>
        <w:t xml:space="preserve">B., J. F. </w:t>
      </w:r>
      <w:proofErr w:type="spellStart"/>
      <w:r w:rsidRPr="000B6ACE">
        <w:rPr>
          <w:rFonts w:ascii="Times New Roman" w:hAnsi="Times New Roman" w:cs="Times New Roman"/>
          <w:sz w:val="24"/>
          <w:szCs w:val="24"/>
        </w:rPr>
        <w:t>Spriggs</w:t>
      </w:r>
      <w:proofErr w:type="spellEnd"/>
      <w:r w:rsidRPr="000B6ACE">
        <w:rPr>
          <w:rFonts w:ascii="Times New Roman" w:hAnsi="Times New Roman" w:cs="Times New Roman"/>
          <w:sz w:val="24"/>
          <w:szCs w:val="24"/>
        </w:rPr>
        <w:t xml:space="preserve">, II, T. R. </w:t>
      </w:r>
      <w:proofErr w:type="spellStart"/>
      <w:r w:rsidRPr="000B6ACE">
        <w:rPr>
          <w:rFonts w:ascii="Times New Roman" w:hAnsi="Times New Roman" w:cs="Times New Roman"/>
          <w:sz w:val="24"/>
          <w:szCs w:val="24"/>
        </w:rPr>
        <w:t>Johsnson</w:t>
      </w:r>
      <w:proofErr w:type="spellEnd"/>
      <w:r w:rsidRPr="000B6ACE">
        <w:rPr>
          <w:rFonts w:ascii="Times New Roman" w:hAnsi="Times New Roman" w:cs="Times New Roman"/>
          <w:sz w:val="24"/>
          <w:szCs w:val="24"/>
        </w:rPr>
        <w:t xml:space="preserve">, and P. J. </w:t>
      </w:r>
      <w:proofErr w:type="spellStart"/>
      <w:r w:rsidRPr="000B6ACE">
        <w:rPr>
          <w:rFonts w:ascii="Times New Roman" w:hAnsi="Times New Roman" w:cs="Times New Roman"/>
          <w:sz w:val="24"/>
          <w:szCs w:val="24"/>
        </w:rPr>
        <w:t>Wahlbeck</w:t>
      </w:r>
      <w:proofErr w:type="spellEnd"/>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(2010).</w:t>
      </w:r>
      <w:r w:rsidRPr="000B6ACE">
        <w:rPr>
          <w:rFonts w:ascii="Times New Roman" w:hAnsi="Times New Roman" w:cs="Times New Roman"/>
          <w:sz w:val="24"/>
          <w:szCs w:val="24"/>
        </w:rPr>
        <w:t xml:space="preserve"> Citations in the U.S. Supreme Court: An Empirical</w:t>
      </w:r>
      <w:r w:rsidRPr="00624B31">
        <w:rPr>
          <w:rFonts w:ascii="Times New Roman" w:hAnsi="Times New Roman" w:cs="Times New Roman"/>
          <w:sz w:val="24"/>
          <w:szCs w:val="24"/>
        </w:rPr>
        <w:t xml:space="preserve"> Study of Their Use and Significance. </w:t>
      </w:r>
      <w:proofErr w:type="gramStart"/>
      <w:r w:rsidRPr="00624B31">
        <w:rPr>
          <w:rStyle w:val="Bodytext2Italic"/>
          <w:rFonts w:ascii="Times New Roman" w:hAnsi="Times New Roman" w:cs="Times New Roman"/>
          <w:sz w:val="24"/>
          <w:szCs w:val="24"/>
        </w:rPr>
        <w:t xml:space="preserve">University of Illinois Law Review </w:t>
      </w:r>
      <w:r w:rsidRPr="005965D5">
        <w:rPr>
          <w:rStyle w:val="Bodytext2Italic"/>
          <w:rFonts w:ascii="Times New Roman" w:hAnsi="Times New Roman" w:cs="Times New Roman"/>
          <w:i w:val="0"/>
          <w:sz w:val="24"/>
          <w:szCs w:val="24"/>
        </w:rPr>
        <w:t>2010(</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489-576.</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Cross, F. B. and E</w:t>
      </w:r>
      <w:r w:rsidRPr="000B6ACE">
        <w:rPr>
          <w:rFonts w:ascii="Times New Roman" w:hAnsi="Times New Roman" w:cs="Times New Roman"/>
          <w:sz w:val="24"/>
          <w:szCs w:val="24"/>
        </w:rPr>
        <w:t xml:space="preserve">. H. Tiller </w:t>
      </w:r>
      <w:r w:rsidRPr="000B6ACE">
        <w:rPr>
          <w:rStyle w:val="Bodytext2Spacing-1pt0"/>
          <w:rFonts w:ascii="Times New Roman" w:hAnsi="Times New Roman" w:cs="Times New Roman"/>
          <w:spacing w:val="0"/>
          <w:sz w:val="24"/>
          <w:szCs w:val="24"/>
        </w:rPr>
        <w:t>(1998).</w:t>
      </w:r>
      <w:r w:rsidRPr="000B6ACE">
        <w:rPr>
          <w:rFonts w:ascii="Times New Roman" w:hAnsi="Times New Roman" w:cs="Times New Roman"/>
          <w:sz w:val="24"/>
          <w:szCs w:val="24"/>
        </w:rPr>
        <w:t xml:space="preserve"> Judicial Partisanship and Obedience to Legal Doctrine: Whistleblowing on the Federal Courts of Appeals. </w:t>
      </w:r>
      <w:proofErr w:type="gramStart"/>
      <w:r w:rsidRPr="000B6ACE">
        <w:rPr>
          <w:rStyle w:val="Bodytext2Italic"/>
          <w:rFonts w:ascii="Times New Roman" w:hAnsi="Times New Roman" w:cs="Times New Roman"/>
          <w:sz w:val="24"/>
          <w:szCs w:val="24"/>
        </w:rPr>
        <w:t xml:space="preserve">Yale Law Journal </w:t>
      </w:r>
      <w:r w:rsidRPr="005965D5">
        <w:rPr>
          <w:rStyle w:val="Bodytext2Italic"/>
          <w:rFonts w:ascii="Times New Roman" w:hAnsi="Times New Roman" w:cs="Times New Roman"/>
          <w:i w:val="0"/>
          <w:sz w:val="24"/>
          <w:szCs w:val="24"/>
        </w:rPr>
        <w:t>107</w:t>
      </w:r>
      <w:r w:rsidRPr="006C2AA7">
        <w:rPr>
          <w:rStyle w:val="Bodytext2Italic"/>
          <w:rFonts w:ascii="Times New Roman" w:hAnsi="Times New Roman" w:cs="Times New Roman"/>
          <w:i w:val="0"/>
          <w:sz w:val="24"/>
          <w:szCs w:val="24"/>
        </w:rPr>
        <w:t>(</w:t>
      </w:r>
      <w:r w:rsidRPr="006C2AA7">
        <w:rPr>
          <w:rFonts w:ascii="Times New Roman" w:hAnsi="Times New Roman" w:cs="Times New Roman"/>
          <w:i/>
          <w:sz w:val="24"/>
          <w:szCs w:val="24"/>
        </w:rPr>
        <w:t>7),</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2155-2178.</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 xml:space="preserve">Epstein, </w:t>
      </w:r>
      <w:r w:rsidRPr="000B6ACE">
        <w:rPr>
          <w:rFonts w:ascii="Times New Roman" w:hAnsi="Times New Roman" w:cs="Times New Roman"/>
          <w:sz w:val="24"/>
          <w:szCs w:val="24"/>
        </w:rPr>
        <w:t xml:space="preserve">L., W. M. </w:t>
      </w:r>
      <w:proofErr w:type="spellStart"/>
      <w:r w:rsidRPr="000B6ACE">
        <w:rPr>
          <w:rFonts w:ascii="Times New Roman" w:hAnsi="Times New Roman" w:cs="Times New Roman"/>
          <w:sz w:val="24"/>
          <w:szCs w:val="24"/>
        </w:rPr>
        <w:t>Landes</w:t>
      </w:r>
      <w:proofErr w:type="spellEnd"/>
      <w:r w:rsidRPr="000B6ACE">
        <w:rPr>
          <w:rFonts w:ascii="Times New Roman" w:hAnsi="Times New Roman" w:cs="Times New Roman"/>
          <w:sz w:val="24"/>
          <w:szCs w:val="24"/>
        </w:rPr>
        <w:t xml:space="preserve">, and R. A. Posner </w:t>
      </w:r>
      <w:r w:rsidRPr="000B6ACE">
        <w:rPr>
          <w:rStyle w:val="Bodytext2Spacing-1pt0"/>
          <w:rFonts w:ascii="Times New Roman" w:hAnsi="Times New Roman" w:cs="Times New Roman"/>
          <w:spacing w:val="0"/>
          <w:sz w:val="24"/>
          <w:szCs w:val="24"/>
        </w:rPr>
        <w:t>(2011).</w:t>
      </w:r>
      <w:r w:rsidRPr="000B6ACE">
        <w:rPr>
          <w:rFonts w:ascii="Times New Roman" w:hAnsi="Times New Roman" w:cs="Times New Roman"/>
          <w:sz w:val="24"/>
          <w:szCs w:val="24"/>
        </w:rPr>
        <w:t xml:space="preserve"> Why (and When) Judges Dissent: A Theoretical and Empirical Analysis. </w:t>
      </w:r>
      <w:r w:rsidRPr="000B6ACE">
        <w:rPr>
          <w:rStyle w:val="Bodytext2Italic"/>
          <w:rFonts w:ascii="Times New Roman" w:hAnsi="Times New Roman" w:cs="Times New Roman"/>
          <w:sz w:val="24"/>
          <w:szCs w:val="24"/>
        </w:rPr>
        <w:t>Journal of Legal Analysis</w:t>
      </w:r>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5(1</w:t>
      </w:r>
      <w:r w:rsidRPr="00624B31">
        <w:rPr>
          <w:rStyle w:val="Bodytext2Spacing-1pt0"/>
          <w:rFonts w:ascii="Times New Roman" w:hAnsi="Times New Roman" w:cs="Times New Roman"/>
          <w:spacing w:val="0"/>
          <w:sz w:val="24"/>
          <w:szCs w:val="24"/>
        </w:rPr>
        <w:t>), 101-137.</w:t>
      </w:r>
    </w:p>
    <w:p w:rsidR="00C3656E" w:rsidRPr="00624B31" w:rsidRDefault="00C3656E" w:rsidP="006400FB">
      <w:pPr>
        <w:pStyle w:val="Bodytext20"/>
        <w:shd w:val="clear" w:color="auto" w:fill="auto"/>
        <w:spacing w:before="0" w:line="480" w:lineRule="auto"/>
        <w:ind w:left="260" w:hanging="229"/>
        <w:rPr>
          <w:rFonts w:ascii="Times New Roman" w:hAnsi="Times New Roman" w:cs="Times New Roman"/>
          <w:sz w:val="24"/>
          <w:szCs w:val="24"/>
        </w:rPr>
      </w:pPr>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 xml:space="preserve">Epstein, </w:t>
      </w:r>
      <w:r w:rsidRPr="000B6ACE">
        <w:rPr>
          <w:rFonts w:ascii="Times New Roman" w:hAnsi="Times New Roman" w:cs="Times New Roman"/>
          <w:sz w:val="24"/>
          <w:szCs w:val="24"/>
        </w:rPr>
        <w:t>L., W.</w:t>
      </w:r>
      <w:r w:rsidRPr="00624B31">
        <w:rPr>
          <w:rFonts w:ascii="Times New Roman" w:hAnsi="Times New Roman" w:cs="Times New Roman"/>
          <w:sz w:val="24"/>
          <w:szCs w:val="24"/>
        </w:rPr>
        <w:t xml:space="preserve"> M. </w:t>
      </w:r>
      <w:proofErr w:type="spellStart"/>
      <w:r w:rsidRPr="00624B31">
        <w:rPr>
          <w:rFonts w:ascii="Times New Roman" w:hAnsi="Times New Roman" w:cs="Times New Roman"/>
          <w:sz w:val="24"/>
          <w:szCs w:val="24"/>
        </w:rPr>
        <w:t>Landes</w:t>
      </w:r>
      <w:proofErr w:type="spellEnd"/>
      <w:r w:rsidRPr="00624B31">
        <w:rPr>
          <w:rFonts w:ascii="Times New Roman" w:hAnsi="Times New Roman" w:cs="Times New Roman"/>
          <w:sz w:val="24"/>
          <w:szCs w:val="24"/>
        </w:rPr>
        <w:t xml:space="preserve">, and R. A. Posner </w:t>
      </w:r>
      <w:r w:rsidRPr="00624B31">
        <w:rPr>
          <w:rStyle w:val="Bodytext2Spacing-1pt0"/>
          <w:rFonts w:ascii="Times New Roman" w:hAnsi="Times New Roman" w:cs="Times New Roman"/>
          <w:spacing w:val="0"/>
          <w:sz w:val="24"/>
          <w:szCs w:val="24"/>
        </w:rPr>
        <w:t>(2013).</w:t>
      </w:r>
      <w:r w:rsidRPr="00624B31">
        <w:rPr>
          <w:rFonts w:ascii="Times New Roman" w:hAnsi="Times New Roman" w:cs="Times New Roman"/>
          <w:sz w:val="24"/>
          <w:szCs w:val="24"/>
        </w:rPr>
        <w:t xml:space="preserve"> </w:t>
      </w:r>
      <w:r w:rsidRPr="00624B31">
        <w:rPr>
          <w:rStyle w:val="Bodytext2Italic"/>
          <w:rFonts w:ascii="Times New Roman" w:hAnsi="Times New Roman" w:cs="Times New Roman"/>
          <w:sz w:val="24"/>
          <w:szCs w:val="24"/>
        </w:rPr>
        <w:t xml:space="preserve">The Behavior of Federal Judges. </w:t>
      </w:r>
      <w:r w:rsidRPr="00624B31">
        <w:rPr>
          <w:rFonts w:ascii="Times New Roman" w:hAnsi="Times New Roman" w:cs="Times New Roman"/>
          <w:sz w:val="24"/>
          <w:szCs w:val="24"/>
        </w:rPr>
        <w:t>Harvard University Press.</w:t>
      </w:r>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Epstein, L</w:t>
      </w:r>
      <w:r w:rsidRPr="000B6ACE">
        <w:rPr>
          <w:rFonts w:ascii="Times New Roman" w:hAnsi="Times New Roman" w:cs="Times New Roman"/>
          <w:sz w:val="24"/>
          <w:szCs w:val="24"/>
        </w:rPr>
        <w:t xml:space="preserve">., A. D. Martin, J. A. Segal, and C. </w:t>
      </w:r>
      <w:proofErr w:type="spellStart"/>
      <w:r w:rsidRPr="000B6ACE">
        <w:rPr>
          <w:rFonts w:ascii="Times New Roman" w:hAnsi="Times New Roman" w:cs="Times New Roman"/>
          <w:sz w:val="24"/>
          <w:szCs w:val="24"/>
        </w:rPr>
        <w:t>Westerland</w:t>
      </w:r>
      <w:proofErr w:type="spellEnd"/>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(2007).</w:t>
      </w:r>
      <w:r w:rsidRPr="000B6ACE">
        <w:rPr>
          <w:rFonts w:ascii="Times New Roman" w:hAnsi="Times New Roman" w:cs="Times New Roman"/>
          <w:sz w:val="24"/>
          <w:szCs w:val="24"/>
        </w:rPr>
        <w:t xml:space="preserve"> The Judicial Common Space. </w:t>
      </w:r>
      <w:proofErr w:type="gramStart"/>
      <w:r w:rsidRPr="000B6ACE">
        <w:rPr>
          <w:rStyle w:val="Bodytext2Italic"/>
          <w:rFonts w:ascii="Times New Roman" w:hAnsi="Times New Roman" w:cs="Times New Roman"/>
          <w:sz w:val="24"/>
          <w:szCs w:val="24"/>
        </w:rPr>
        <w:t xml:space="preserve">Journal of Law, Economics, &amp; Organization </w:t>
      </w:r>
      <w:r w:rsidRPr="005965D5">
        <w:rPr>
          <w:rStyle w:val="Bodytext2Italic"/>
          <w:rFonts w:ascii="Times New Roman" w:hAnsi="Times New Roman" w:cs="Times New Roman"/>
          <w:i w:val="0"/>
          <w:sz w:val="24"/>
          <w:szCs w:val="24"/>
        </w:rPr>
        <w:t>23</w:t>
      </w:r>
      <w:r w:rsidRPr="006C2AA7">
        <w:rPr>
          <w:rStyle w:val="Bodytext2Italic"/>
          <w:rFonts w:ascii="Times New Roman" w:hAnsi="Times New Roman" w:cs="Times New Roman"/>
          <w:i w:val="0"/>
          <w:sz w:val="24"/>
          <w:szCs w:val="24"/>
        </w:rPr>
        <w:t>(2),</w:t>
      </w:r>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303</w:t>
      </w:r>
      <w:r w:rsidRPr="00624B31">
        <w:rPr>
          <w:rStyle w:val="Bodytext2Spacing-1pt0"/>
          <w:rFonts w:ascii="Times New Roman" w:hAnsi="Times New Roman" w:cs="Times New Roman"/>
          <w:spacing w:val="0"/>
          <w:sz w:val="24"/>
          <w:szCs w:val="24"/>
        </w:rPr>
        <w:t>-325.</w:t>
      </w:r>
      <w:proofErr w:type="gramEnd"/>
      <w:r w:rsidRPr="00624B31">
        <w:rPr>
          <w:rFonts w:ascii="Times New Roman" w:hAnsi="Times New Roman" w:cs="Times New Roman"/>
          <w:sz w:val="24"/>
          <w:szCs w:val="24"/>
        </w:rPr>
        <w:t xml:space="preserve"> </w:t>
      </w:r>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proofErr w:type="spellStart"/>
      <w:proofErr w:type="gramStart"/>
      <w:r w:rsidRPr="000B6ACE">
        <w:rPr>
          <w:rFonts w:ascii="Times New Roman" w:hAnsi="Times New Roman" w:cs="Times New Roman"/>
          <w:sz w:val="24"/>
          <w:szCs w:val="24"/>
        </w:rPr>
        <w:t>Farhang</w:t>
      </w:r>
      <w:proofErr w:type="spellEnd"/>
      <w:r w:rsidRPr="000B6ACE">
        <w:rPr>
          <w:rFonts w:ascii="Times New Roman" w:hAnsi="Times New Roman" w:cs="Times New Roman"/>
          <w:sz w:val="24"/>
          <w:szCs w:val="24"/>
        </w:rPr>
        <w:t xml:space="preserve">, S., J. P. </w:t>
      </w:r>
      <w:proofErr w:type="spellStart"/>
      <w:r w:rsidRPr="000B6ACE">
        <w:rPr>
          <w:rFonts w:ascii="Times New Roman" w:hAnsi="Times New Roman" w:cs="Times New Roman"/>
          <w:sz w:val="24"/>
          <w:szCs w:val="24"/>
        </w:rPr>
        <w:t>Kastellec</w:t>
      </w:r>
      <w:proofErr w:type="spellEnd"/>
      <w:r w:rsidRPr="000B6ACE">
        <w:rPr>
          <w:rFonts w:ascii="Times New Roman" w:hAnsi="Times New Roman" w:cs="Times New Roman"/>
          <w:sz w:val="24"/>
          <w:szCs w:val="24"/>
        </w:rPr>
        <w:t xml:space="preserve">, and G. J. </w:t>
      </w:r>
      <w:proofErr w:type="spellStart"/>
      <w:r w:rsidRPr="000B6ACE">
        <w:rPr>
          <w:rFonts w:ascii="Times New Roman" w:hAnsi="Times New Roman" w:cs="Times New Roman"/>
          <w:sz w:val="24"/>
          <w:szCs w:val="24"/>
        </w:rPr>
        <w:t>Wawro</w:t>
      </w:r>
      <w:proofErr w:type="spellEnd"/>
      <w:r w:rsidRPr="000B6ACE">
        <w:rPr>
          <w:rFonts w:ascii="Times New Roman" w:hAnsi="Times New Roman" w:cs="Times New Roman"/>
          <w:sz w:val="24"/>
          <w:szCs w:val="24"/>
        </w:rPr>
        <w:t xml:space="preserve"> </w:t>
      </w:r>
      <w:r w:rsidRPr="000B6ACE">
        <w:rPr>
          <w:rStyle w:val="Bodytext2Spacing-1pt0"/>
          <w:rFonts w:ascii="Times New Roman" w:hAnsi="Times New Roman" w:cs="Times New Roman"/>
          <w:spacing w:val="0"/>
          <w:sz w:val="24"/>
          <w:szCs w:val="24"/>
        </w:rPr>
        <w:t>(2015).</w:t>
      </w:r>
      <w:proofErr w:type="gramEnd"/>
      <w:r w:rsidRPr="000B6ACE">
        <w:rPr>
          <w:rFonts w:ascii="Times New Roman" w:hAnsi="Times New Roman" w:cs="Times New Roman"/>
          <w:sz w:val="24"/>
          <w:szCs w:val="24"/>
        </w:rPr>
        <w:t xml:space="preserve"> The Politics of Opinion Assignment and Authorship on the U</w:t>
      </w:r>
      <w:r w:rsidR="005965D5">
        <w:rPr>
          <w:rFonts w:ascii="Times New Roman" w:hAnsi="Times New Roman" w:cs="Times New Roman"/>
          <w:sz w:val="24"/>
          <w:szCs w:val="24"/>
        </w:rPr>
        <w:t>.</w:t>
      </w:r>
      <w:r w:rsidRPr="000B6ACE">
        <w:rPr>
          <w:rFonts w:ascii="Times New Roman" w:hAnsi="Times New Roman" w:cs="Times New Roman"/>
          <w:sz w:val="24"/>
          <w:szCs w:val="24"/>
        </w:rPr>
        <w:t>S</w:t>
      </w:r>
      <w:r w:rsidR="005965D5">
        <w:rPr>
          <w:rFonts w:ascii="Times New Roman" w:hAnsi="Times New Roman" w:cs="Times New Roman"/>
          <w:sz w:val="24"/>
          <w:szCs w:val="24"/>
        </w:rPr>
        <w:t>.</w:t>
      </w:r>
      <w:r w:rsidRPr="000B6ACE">
        <w:rPr>
          <w:rFonts w:ascii="Times New Roman" w:hAnsi="Times New Roman" w:cs="Times New Roman"/>
          <w:sz w:val="24"/>
          <w:szCs w:val="24"/>
        </w:rPr>
        <w:t xml:space="preserve"> Court of Appeals: Evidence from Sexual Harassment Cases. </w:t>
      </w:r>
      <w:proofErr w:type="gramStart"/>
      <w:r w:rsidRPr="000B6ACE">
        <w:rPr>
          <w:rStyle w:val="Bodytext2Italic"/>
          <w:rFonts w:ascii="Times New Roman" w:hAnsi="Times New Roman" w:cs="Times New Roman"/>
          <w:sz w:val="24"/>
          <w:szCs w:val="24"/>
        </w:rPr>
        <w:t xml:space="preserve">Journal of Legal Studies </w:t>
      </w:r>
      <w:r w:rsidR="005965D5">
        <w:rPr>
          <w:rStyle w:val="Bodytext2Arial"/>
          <w:rFonts w:ascii="Times New Roman" w:hAnsi="Times New Roman" w:cs="Times New Roman"/>
          <w:i w:val="0"/>
          <w:sz w:val="24"/>
          <w:szCs w:val="24"/>
        </w:rPr>
        <w:t xml:space="preserve">44(1), </w:t>
      </w:r>
      <w:r w:rsidRPr="00624B31">
        <w:rPr>
          <w:rStyle w:val="Bodytext2Spacing-1pt0"/>
          <w:rFonts w:ascii="Times New Roman" w:hAnsi="Times New Roman" w:cs="Times New Roman"/>
          <w:spacing w:val="0"/>
          <w:sz w:val="24"/>
          <w:szCs w:val="24"/>
        </w:rPr>
        <w:t>S59-S85.</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proofErr w:type="spellStart"/>
      <w:r w:rsidRPr="00624B31">
        <w:rPr>
          <w:rFonts w:ascii="Times New Roman" w:hAnsi="Times New Roman" w:cs="Times New Roman"/>
          <w:sz w:val="24"/>
          <w:szCs w:val="24"/>
        </w:rPr>
        <w:t>Farhang</w:t>
      </w:r>
      <w:proofErr w:type="spellEnd"/>
      <w:r w:rsidRPr="00624B31">
        <w:rPr>
          <w:rFonts w:ascii="Times New Roman" w:hAnsi="Times New Roman" w:cs="Times New Roman"/>
          <w:sz w:val="24"/>
          <w:szCs w:val="24"/>
        </w:rPr>
        <w:t xml:space="preserve">, S. and G. </w:t>
      </w:r>
      <w:proofErr w:type="spellStart"/>
      <w:r w:rsidRPr="00624B31">
        <w:rPr>
          <w:rFonts w:ascii="Times New Roman" w:hAnsi="Times New Roman" w:cs="Times New Roman"/>
          <w:sz w:val="24"/>
          <w:szCs w:val="24"/>
        </w:rPr>
        <w:t>Wawro</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w:t>
      </w:r>
      <w:r w:rsidRPr="00BC2208">
        <w:rPr>
          <w:rStyle w:val="Bodytext2Spacing-1pt0"/>
          <w:rFonts w:ascii="Times New Roman" w:hAnsi="Times New Roman" w:cs="Times New Roman"/>
          <w:spacing w:val="0"/>
          <w:sz w:val="24"/>
          <w:szCs w:val="24"/>
        </w:rPr>
        <w:t>2004).</w:t>
      </w:r>
      <w:r w:rsidRPr="00BC2208">
        <w:rPr>
          <w:rFonts w:ascii="Times New Roman" w:hAnsi="Times New Roman" w:cs="Times New Roman"/>
          <w:sz w:val="24"/>
          <w:szCs w:val="24"/>
        </w:rPr>
        <w:t xml:space="preserve"> Institutional</w:t>
      </w:r>
      <w:r w:rsidRPr="00624B31">
        <w:rPr>
          <w:rFonts w:ascii="Times New Roman" w:hAnsi="Times New Roman" w:cs="Times New Roman"/>
          <w:sz w:val="24"/>
          <w:szCs w:val="24"/>
        </w:rPr>
        <w:t xml:space="preserve"> Dynamics on the U.S. Court of Appeals: Minority Representation under Panel Decision Making. </w:t>
      </w:r>
      <w:proofErr w:type="gramStart"/>
      <w:r w:rsidRPr="00624B31">
        <w:rPr>
          <w:rStyle w:val="Bodytext2Italic"/>
          <w:rFonts w:ascii="Times New Roman" w:hAnsi="Times New Roman" w:cs="Times New Roman"/>
          <w:sz w:val="24"/>
          <w:szCs w:val="24"/>
        </w:rPr>
        <w:t xml:space="preserve">Journal of Law, Economics, &amp; Organization </w:t>
      </w:r>
      <w:r w:rsidRPr="005965D5">
        <w:rPr>
          <w:rStyle w:val="Bodytext2Italic"/>
          <w:rFonts w:ascii="Times New Roman" w:hAnsi="Times New Roman" w:cs="Times New Roman"/>
          <w:i w:val="0"/>
          <w:sz w:val="24"/>
          <w:szCs w:val="24"/>
        </w:rPr>
        <w:t>20</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299-330.</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proofErr w:type="spellStart"/>
      <w:r w:rsidRPr="00624B31">
        <w:rPr>
          <w:rFonts w:ascii="Times New Roman" w:hAnsi="Times New Roman" w:cs="Times New Roman"/>
          <w:sz w:val="24"/>
          <w:szCs w:val="24"/>
        </w:rPr>
        <w:t>Fischman</w:t>
      </w:r>
      <w:proofErr w:type="spellEnd"/>
      <w:r w:rsidRPr="00624B31">
        <w:rPr>
          <w:rFonts w:ascii="Times New Roman" w:hAnsi="Times New Roman" w:cs="Times New Roman"/>
          <w:sz w:val="24"/>
          <w:szCs w:val="24"/>
        </w:rPr>
        <w:t xml:space="preserve">, J. </w:t>
      </w:r>
      <w:r w:rsidRPr="00BC2208">
        <w:rPr>
          <w:rFonts w:ascii="Times New Roman" w:hAnsi="Times New Roman" w:cs="Times New Roman"/>
          <w:sz w:val="24"/>
          <w:szCs w:val="24"/>
        </w:rPr>
        <w:t xml:space="preserve">B. </w:t>
      </w:r>
      <w:r w:rsidRPr="00BC2208">
        <w:rPr>
          <w:rStyle w:val="Bodytext2Spacing-1pt0"/>
          <w:rFonts w:ascii="Times New Roman" w:hAnsi="Times New Roman" w:cs="Times New Roman"/>
          <w:spacing w:val="0"/>
          <w:sz w:val="24"/>
          <w:szCs w:val="24"/>
        </w:rPr>
        <w:t>(2015).</w:t>
      </w:r>
      <w:r w:rsidRPr="00BC2208">
        <w:rPr>
          <w:rFonts w:ascii="Times New Roman" w:hAnsi="Times New Roman" w:cs="Times New Roman"/>
          <w:sz w:val="24"/>
          <w:szCs w:val="24"/>
        </w:rPr>
        <w:t xml:space="preserve"> Interpreting Circuit Court Voting Patterns: A Social Interactions Framework. </w:t>
      </w:r>
      <w:proofErr w:type="gramStart"/>
      <w:r w:rsidR="005965D5">
        <w:rPr>
          <w:rStyle w:val="Bodytext2Italic"/>
          <w:rFonts w:ascii="Times New Roman" w:hAnsi="Times New Roman" w:cs="Times New Roman"/>
          <w:sz w:val="24"/>
          <w:szCs w:val="24"/>
        </w:rPr>
        <w:t>Journal of Law, Economics, &amp;</w:t>
      </w:r>
      <w:r w:rsidRPr="00BC2208">
        <w:rPr>
          <w:rStyle w:val="Bodytext2Italic"/>
          <w:rFonts w:ascii="Times New Roman" w:hAnsi="Times New Roman" w:cs="Times New Roman"/>
          <w:sz w:val="24"/>
          <w:szCs w:val="24"/>
        </w:rPr>
        <w:t xml:space="preserve"> Organization </w:t>
      </w:r>
      <w:r w:rsidRPr="005965D5">
        <w:rPr>
          <w:rStyle w:val="Bodytext2Italic"/>
          <w:rFonts w:ascii="Times New Roman" w:hAnsi="Times New Roman" w:cs="Times New Roman"/>
          <w:i w:val="0"/>
          <w:sz w:val="24"/>
          <w:szCs w:val="24"/>
        </w:rPr>
        <w:t>31</w:t>
      </w:r>
      <w:r w:rsidRPr="006C2AA7">
        <w:rPr>
          <w:rStyle w:val="Bodytext2Italic"/>
          <w:rFonts w:ascii="Times New Roman" w:hAnsi="Times New Roman" w:cs="Times New Roman"/>
          <w:i w:val="0"/>
          <w:sz w:val="24"/>
          <w:szCs w:val="24"/>
        </w:rPr>
        <w:t>(4),</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808-842.</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BC2208">
        <w:rPr>
          <w:rFonts w:ascii="Times New Roman" w:hAnsi="Times New Roman" w:cs="Times New Roman"/>
          <w:sz w:val="24"/>
          <w:szCs w:val="24"/>
        </w:rPr>
        <w:t xml:space="preserve">Gerhardt, M. J. </w:t>
      </w:r>
      <w:r w:rsidRPr="00BC2208">
        <w:rPr>
          <w:rStyle w:val="Bodytext2Spacing-1pt0"/>
          <w:rFonts w:ascii="Times New Roman" w:hAnsi="Times New Roman" w:cs="Times New Roman"/>
          <w:spacing w:val="0"/>
          <w:sz w:val="24"/>
          <w:szCs w:val="24"/>
        </w:rPr>
        <w:t>(2008</w:t>
      </w:r>
      <w:r w:rsidRPr="00624B31">
        <w:rPr>
          <w:rStyle w:val="Bodytext2Spacing-1pt0"/>
          <w:rFonts w:ascii="Times New Roman" w:hAnsi="Times New Roman" w:cs="Times New Roman"/>
          <w:spacing w:val="0"/>
          <w:sz w:val="24"/>
          <w:szCs w:val="24"/>
        </w:rPr>
        <w:t>).</w:t>
      </w:r>
      <w:r w:rsidRPr="00624B31">
        <w:rPr>
          <w:rFonts w:ascii="Times New Roman" w:hAnsi="Times New Roman" w:cs="Times New Roman"/>
          <w:sz w:val="24"/>
          <w:szCs w:val="24"/>
        </w:rPr>
        <w:t xml:space="preserve"> </w:t>
      </w:r>
      <w:r w:rsidRPr="00624B31">
        <w:rPr>
          <w:rStyle w:val="Bodytext2Italic"/>
          <w:rFonts w:ascii="Times New Roman" w:hAnsi="Times New Roman" w:cs="Times New Roman"/>
          <w:sz w:val="24"/>
          <w:szCs w:val="24"/>
        </w:rPr>
        <w:t>The Power of Precedent.</w:t>
      </w:r>
      <w:r w:rsidRPr="00624B31">
        <w:rPr>
          <w:rFonts w:ascii="Times New Roman" w:hAnsi="Times New Roman" w:cs="Times New Roman"/>
          <w:sz w:val="24"/>
          <w:szCs w:val="24"/>
        </w:rPr>
        <w:t xml:space="preserve"> Oxford University Press.</w:t>
      </w:r>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 xml:space="preserve">Giles, </w:t>
      </w:r>
      <w:r w:rsidRPr="00BC2208">
        <w:rPr>
          <w:rFonts w:ascii="Times New Roman" w:hAnsi="Times New Roman" w:cs="Times New Roman"/>
          <w:sz w:val="24"/>
          <w:szCs w:val="24"/>
        </w:rPr>
        <w:t xml:space="preserve">M. W., V. A. Hettinger, and T. Peppers </w:t>
      </w:r>
      <w:r w:rsidRPr="00BC2208">
        <w:rPr>
          <w:rStyle w:val="Bodytext2Spacing-1pt0"/>
          <w:rFonts w:ascii="Times New Roman" w:hAnsi="Times New Roman" w:cs="Times New Roman"/>
          <w:spacing w:val="0"/>
          <w:sz w:val="24"/>
          <w:szCs w:val="24"/>
        </w:rPr>
        <w:t>(2001).</w:t>
      </w:r>
      <w:r w:rsidRPr="00BC2208">
        <w:rPr>
          <w:rFonts w:ascii="Times New Roman" w:hAnsi="Times New Roman" w:cs="Times New Roman"/>
          <w:sz w:val="24"/>
          <w:szCs w:val="24"/>
        </w:rPr>
        <w:t xml:space="preserve"> Picking Federal Judges: A Note on Policy and Partisan Selection Agendas. </w:t>
      </w:r>
      <w:proofErr w:type="gramStart"/>
      <w:r w:rsidRPr="00BC2208">
        <w:rPr>
          <w:rStyle w:val="Bodytext2Italic"/>
          <w:rFonts w:ascii="Times New Roman" w:hAnsi="Times New Roman" w:cs="Times New Roman"/>
          <w:sz w:val="24"/>
          <w:szCs w:val="24"/>
        </w:rPr>
        <w:t xml:space="preserve">Political Research Quarterly </w:t>
      </w:r>
      <w:r w:rsidRPr="005965D5">
        <w:rPr>
          <w:rStyle w:val="Bodytext2Italic"/>
          <w:rFonts w:ascii="Times New Roman" w:hAnsi="Times New Roman" w:cs="Times New Roman"/>
          <w:i w:val="0"/>
          <w:sz w:val="24"/>
          <w:szCs w:val="24"/>
        </w:rPr>
        <w:t>54</w:t>
      </w:r>
      <w:r w:rsidRPr="006C2AA7">
        <w:rPr>
          <w:rStyle w:val="Bodytext2Italic"/>
          <w:rFonts w:ascii="Times New Roman" w:hAnsi="Times New Roman" w:cs="Times New Roman"/>
          <w:i w:val="0"/>
          <w:sz w:val="24"/>
          <w:szCs w:val="24"/>
        </w:rPr>
        <w:t>(3),</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623</w:t>
      </w:r>
      <w:r w:rsidRPr="00624B31">
        <w:rPr>
          <w:rStyle w:val="Bodytext2Spacing-1pt0"/>
          <w:rFonts w:ascii="Times New Roman" w:hAnsi="Times New Roman" w:cs="Times New Roman"/>
          <w:spacing w:val="0"/>
          <w:sz w:val="24"/>
          <w:szCs w:val="24"/>
        </w:rPr>
        <w:t>-641.</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proofErr w:type="spellStart"/>
      <w:r w:rsidRPr="00BC2208">
        <w:rPr>
          <w:rFonts w:ascii="Times New Roman" w:hAnsi="Times New Roman" w:cs="Times New Roman"/>
          <w:sz w:val="24"/>
          <w:szCs w:val="24"/>
        </w:rPr>
        <w:t>Haire</w:t>
      </w:r>
      <w:proofErr w:type="spellEnd"/>
      <w:r w:rsidRPr="00BC2208">
        <w:rPr>
          <w:rFonts w:ascii="Times New Roman" w:hAnsi="Times New Roman" w:cs="Times New Roman"/>
          <w:sz w:val="24"/>
          <w:szCs w:val="24"/>
        </w:rPr>
        <w:t xml:space="preserve">, S. B., L. P. Moyer, and S. </w:t>
      </w:r>
      <w:proofErr w:type="spellStart"/>
      <w:r w:rsidRPr="00BC2208">
        <w:rPr>
          <w:rFonts w:ascii="Times New Roman" w:hAnsi="Times New Roman" w:cs="Times New Roman"/>
          <w:sz w:val="24"/>
          <w:szCs w:val="24"/>
        </w:rPr>
        <w:t>Treier</w:t>
      </w:r>
      <w:proofErr w:type="spellEnd"/>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(2013).</w:t>
      </w:r>
      <w:r w:rsidRPr="00BC2208">
        <w:rPr>
          <w:rFonts w:ascii="Times New Roman" w:hAnsi="Times New Roman" w:cs="Times New Roman"/>
          <w:sz w:val="24"/>
          <w:szCs w:val="24"/>
        </w:rPr>
        <w:t xml:space="preserve"> Diversity, Deliberation, and Judicial Opinion Writing. </w:t>
      </w:r>
      <w:proofErr w:type="gramStart"/>
      <w:r w:rsidRPr="00BC2208">
        <w:rPr>
          <w:rStyle w:val="Bodytext2Italic"/>
          <w:rFonts w:ascii="Times New Roman" w:hAnsi="Times New Roman" w:cs="Times New Roman"/>
          <w:sz w:val="24"/>
          <w:szCs w:val="24"/>
        </w:rPr>
        <w:t xml:space="preserve">Journal of Law and Courts </w:t>
      </w:r>
      <w:r w:rsidRPr="005965D5">
        <w:rPr>
          <w:rStyle w:val="Bodytext2Italic"/>
          <w:rFonts w:ascii="Times New Roman" w:hAnsi="Times New Roman" w:cs="Times New Roman"/>
          <w:i w:val="0"/>
          <w:sz w:val="24"/>
          <w:szCs w:val="24"/>
        </w:rPr>
        <w:t>1</w:t>
      </w:r>
      <w:r w:rsidRPr="006C2AA7">
        <w:rPr>
          <w:rStyle w:val="Bodytext2Italic"/>
          <w:rFonts w:ascii="Times New Roman" w:hAnsi="Times New Roman" w:cs="Times New Roman"/>
          <w:i w:val="0"/>
          <w:sz w:val="24"/>
          <w:szCs w:val="24"/>
        </w:rPr>
        <w:t>(2</w:t>
      </w:r>
      <w:r w:rsidRPr="00624B31">
        <w:rPr>
          <w:rStyle w:val="Bodytext2Italic"/>
          <w:rFonts w:ascii="Times New Roman" w:hAnsi="Times New Roman" w:cs="Times New Roman"/>
          <w:sz w:val="24"/>
          <w:szCs w:val="24"/>
        </w:rPr>
        <w:t>),</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303-330.</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Hansford</w:t>
      </w:r>
      <w:r w:rsidRPr="00BC2208">
        <w:rPr>
          <w:rFonts w:ascii="Times New Roman" w:hAnsi="Times New Roman" w:cs="Times New Roman"/>
          <w:sz w:val="24"/>
          <w:szCs w:val="24"/>
        </w:rPr>
        <w:t>, T. G. and</w:t>
      </w:r>
      <w:r w:rsidRPr="00624B31">
        <w:rPr>
          <w:rFonts w:ascii="Times New Roman" w:hAnsi="Times New Roman" w:cs="Times New Roman"/>
          <w:sz w:val="24"/>
          <w:szCs w:val="24"/>
        </w:rPr>
        <w:t xml:space="preserve"> J. F. </w:t>
      </w: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II </w:t>
      </w:r>
      <w:r w:rsidRPr="00624B31">
        <w:rPr>
          <w:rStyle w:val="Bodytext2Spacing-1pt0"/>
          <w:rFonts w:ascii="Times New Roman" w:hAnsi="Times New Roman" w:cs="Times New Roman"/>
          <w:spacing w:val="0"/>
          <w:sz w:val="24"/>
          <w:szCs w:val="24"/>
        </w:rPr>
        <w:t>(2006).</w:t>
      </w:r>
      <w:r w:rsidRPr="00624B31">
        <w:rPr>
          <w:rFonts w:ascii="Times New Roman" w:hAnsi="Times New Roman" w:cs="Times New Roman"/>
          <w:sz w:val="24"/>
          <w:szCs w:val="24"/>
        </w:rPr>
        <w:t xml:space="preserve"> </w:t>
      </w:r>
      <w:r w:rsidRPr="00624B31">
        <w:rPr>
          <w:rStyle w:val="Bodytext2Italic"/>
          <w:rFonts w:ascii="Times New Roman" w:hAnsi="Times New Roman" w:cs="Times New Roman"/>
          <w:sz w:val="24"/>
          <w:szCs w:val="24"/>
        </w:rPr>
        <w:t>The Politics of Precedent on the U.S. Supreme Court.</w:t>
      </w:r>
      <w:r w:rsidRPr="00624B31">
        <w:rPr>
          <w:rFonts w:ascii="Times New Roman" w:hAnsi="Times New Roman" w:cs="Times New Roman"/>
          <w:sz w:val="24"/>
          <w:szCs w:val="24"/>
        </w:rPr>
        <w:t xml:space="preserve"> Princeton University Press.</w:t>
      </w:r>
    </w:p>
    <w:p w:rsidR="00C3656E" w:rsidRPr="00624B31" w:rsidRDefault="00B90DEA" w:rsidP="005965D5">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Hinkle, R.</w:t>
      </w:r>
      <w:r w:rsidRPr="00BC2208">
        <w:rPr>
          <w:rFonts w:ascii="Times New Roman" w:hAnsi="Times New Roman" w:cs="Times New Roman"/>
          <w:sz w:val="24"/>
          <w:szCs w:val="24"/>
        </w:rPr>
        <w:t xml:space="preserve"> K. </w:t>
      </w:r>
      <w:r w:rsidRPr="00BC2208">
        <w:rPr>
          <w:rStyle w:val="Bodytext2Spacing-1pt0"/>
          <w:rFonts w:ascii="Times New Roman" w:hAnsi="Times New Roman" w:cs="Times New Roman"/>
          <w:spacing w:val="0"/>
          <w:sz w:val="24"/>
          <w:szCs w:val="24"/>
        </w:rPr>
        <w:t>(2015).</w:t>
      </w:r>
      <w:r w:rsidRPr="00BC2208">
        <w:rPr>
          <w:rFonts w:ascii="Times New Roman" w:hAnsi="Times New Roman" w:cs="Times New Roman"/>
          <w:sz w:val="24"/>
          <w:szCs w:val="24"/>
        </w:rPr>
        <w:t xml:space="preserve"> Legal Constraint in the U.S. Courts of Appeals. </w:t>
      </w:r>
      <w:proofErr w:type="gramStart"/>
      <w:r w:rsidRPr="00BC2208">
        <w:rPr>
          <w:rStyle w:val="Bodytext2Italic"/>
          <w:rFonts w:ascii="Times New Roman" w:hAnsi="Times New Roman" w:cs="Times New Roman"/>
          <w:sz w:val="24"/>
          <w:szCs w:val="24"/>
        </w:rPr>
        <w:t xml:space="preserve">Journal of Politics </w:t>
      </w:r>
      <w:r w:rsidRPr="005965D5">
        <w:rPr>
          <w:rStyle w:val="Bodytext2Italic"/>
          <w:rFonts w:ascii="Times New Roman" w:hAnsi="Times New Roman" w:cs="Times New Roman"/>
          <w:i w:val="0"/>
          <w:sz w:val="24"/>
          <w:szCs w:val="24"/>
        </w:rPr>
        <w:t>77</w:t>
      </w:r>
      <w:r w:rsidRPr="006C2AA7">
        <w:rPr>
          <w:rStyle w:val="Bodytext2Italic"/>
          <w:rFonts w:ascii="Times New Roman" w:hAnsi="Times New Roman" w:cs="Times New Roman"/>
          <w:i w:val="0"/>
          <w:sz w:val="24"/>
          <w:szCs w:val="24"/>
        </w:rPr>
        <w:t>(3),</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721-73</w:t>
      </w:r>
      <w:r w:rsidRPr="00624B31">
        <w:rPr>
          <w:rStyle w:val="Bodytext2Spacing-1pt0"/>
          <w:rFonts w:ascii="Times New Roman" w:hAnsi="Times New Roman" w:cs="Times New Roman"/>
          <w:spacing w:val="0"/>
          <w:sz w:val="24"/>
          <w:szCs w:val="24"/>
        </w:rPr>
        <w:t>5.</w:t>
      </w:r>
      <w:proofErr w:type="gramEnd"/>
    </w:p>
    <w:p w:rsidR="00C95181" w:rsidRPr="00624B31" w:rsidRDefault="00B90DEA" w:rsidP="006400FB">
      <w:pPr>
        <w:pStyle w:val="Bodytext20"/>
        <w:shd w:val="clear" w:color="auto" w:fill="auto"/>
        <w:spacing w:before="0" w:line="480" w:lineRule="auto"/>
        <w:ind w:left="260" w:hanging="229"/>
        <w:rPr>
          <w:rFonts w:ascii="Times New Roman" w:hAnsi="Times New Roman" w:cs="Times New Roman"/>
          <w:sz w:val="24"/>
          <w:szCs w:val="24"/>
        </w:rPr>
      </w:pPr>
      <w:r w:rsidRPr="00624B31">
        <w:rPr>
          <w:rFonts w:ascii="Times New Roman" w:hAnsi="Times New Roman" w:cs="Times New Roman"/>
          <w:sz w:val="24"/>
          <w:szCs w:val="24"/>
        </w:rPr>
        <w:t xml:space="preserve">Hinkle, R. </w:t>
      </w:r>
      <w:r w:rsidRPr="00BC2208">
        <w:rPr>
          <w:rFonts w:ascii="Times New Roman" w:hAnsi="Times New Roman" w:cs="Times New Roman"/>
          <w:sz w:val="24"/>
          <w:szCs w:val="24"/>
        </w:rPr>
        <w:t xml:space="preserve">K. </w:t>
      </w:r>
      <w:r w:rsidRPr="00BC2208">
        <w:rPr>
          <w:rStyle w:val="Bodytext2Spacing-1pt0"/>
          <w:rFonts w:ascii="Times New Roman" w:hAnsi="Times New Roman" w:cs="Times New Roman"/>
          <w:spacing w:val="0"/>
          <w:sz w:val="24"/>
          <w:szCs w:val="24"/>
        </w:rPr>
        <w:t>(2016).</w:t>
      </w:r>
      <w:r w:rsidRPr="00BC2208">
        <w:rPr>
          <w:rFonts w:ascii="Times New Roman" w:hAnsi="Times New Roman" w:cs="Times New Roman"/>
          <w:sz w:val="24"/>
          <w:szCs w:val="24"/>
        </w:rPr>
        <w:t xml:space="preserve"> Strategic Anticipation of En Banc Review in the U</w:t>
      </w:r>
      <w:r w:rsidR="006C2AA7">
        <w:rPr>
          <w:rFonts w:ascii="Times New Roman" w:hAnsi="Times New Roman" w:cs="Times New Roman"/>
          <w:sz w:val="24"/>
          <w:szCs w:val="24"/>
        </w:rPr>
        <w:t>.</w:t>
      </w:r>
      <w:r w:rsidRPr="00BC2208">
        <w:rPr>
          <w:rFonts w:ascii="Times New Roman" w:hAnsi="Times New Roman" w:cs="Times New Roman"/>
          <w:sz w:val="24"/>
          <w:szCs w:val="24"/>
        </w:rPr>
        <w:t>S</w:t>
      </w:r>
      <w:r w:rsidR="006C2AA7">
        <w:rPr>
          <w:rFonts w:ascii="Times New Roman" w:hAnsi="Times New Roman" w:cs="Times New Roman"/>
          <w:sz w:val="24"/>
          <w:szCs w:val="24"/>
        </w:rPr>
        <w:t>.</w:t>
      </w:r>
      <w:r w:rsidRPr="00BC2208">
        <w:rPr>
          <w:rFonts w:ascii="Times New Roman" w:hAnsi="Times New Roman" w:cs="Times New Roman"/>
          <w:sz w:val="24"/>
          <w:szCs w:val="24"/>
        </w:rPr>
        <w:t xml:space="preserve"> Courts of Appeals. </w:t>
      </w:r>
      <w:proofErr w:type="gramStart"/>
      <w:r w:rsidRPr="00BC2208">
        <w:rPr>
          <w:rStyle w:val="Bodytext2Italic"/>
          <w:rFonts w:ascii="Times New Roman" w:hAnsi="Times New Roman" w:cs="Times New Roman"/>
          <w:sz w:val="24"/>
          <w:szCs w:val="24"/>
        </w:rPr>
        <w:t xml:space="preserve">Law &amp; Society Review </w:t>
      </w:r>
      <w:r w:rsidRPr="005965D5">
        <w:rPr>
          <w:rStyle w:val="Bodytext2Italic"/>
          <w:rFonts w:ascii="Times New Roman" w:hAnsi="Times New Roman" w:cs="Times New Roman"/>
          <w:i w:val="0"/>
          <w:sz w:val="24"/>
          <w:szCs w:val="24"/>
        </w:rPr>
        <w:t>50</w:t>
      </w:r>
      <w:r w:rsidRPr="006C2AA7">
        <w:rPr>
          <w:rStyle w:val="Bodytext2Italic"/>
          <w:rFonts w:ascii="Times New Roman" w:hAnsi="Times New Roman" w:cs="Times New Roman"/>
          <w:i w:val="0"/>
          <w:sz w:val="24"/>
          <w:szCs w:val="24"/>
        </w:rPr>
        <w:t>(2),</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383</w:t>
      </w:r>
      <w:r w:rsidR="00BC2208">
        <w:rPr>
          <w:rStyle w:val="Bodytext2Spacing-1pt0"/>
          <w:rFonts w:ascii="Times New Roman" w:hAnsi="Times New Roman" w:cs="Times New Roman"/>
          <w:spacing w:val="0"/>
          <w:sz w:val="24"/>
          <w:szCs w:val="24"/>
        </w:rPr>
        <w:t>-</w:t>
      </w:r>
      <w:r w:rsidR="00BC2208" w:rsidRPr="00BC2208">
        <w:rPr>
          <w:rStyle w:val="Bodytext2Spacing-1pt0"/>
          <w:rFonts w:ascii="Times New Roman" w:hAnsi="Times New Roman" w:cs="Times New Roman"/>
          <w:spacing w:val="0"/>
          <w:sz w:val="24"/>
          <w:szCs w:val="24"/>
        </w:rPr>
        <w:t>4</w:t>
      </w:r>
      <w:r w:rsidRPr="00BC2208">
        <w:rPr>
          <w:rStyle w:val="Bodytext2Spacing-1pt0"/>
          <w:rFonts w:ascii="Times New Roman" w:hAnsi="Times New Roman" w:cs="Times New Roman"/>
          <w:spacing w:val="0"/>
          <w:sz w:val="24"/>
          <w:szCs w:val="24"/>
        </w:rPr>
        <w:t>1</w:t>
      </w:r>
      <w:r w:rsidRPr="00624B31">
        <w:rPr>
          <w:rStyle w:val="Bodytext2Spacing-1pt0"/>
          <w:rFonts w:ascii="Times New Roman" w:hAnsi="Times New Roman" w:cs="Times New Roman"/>
          <w:spacing w:val="0"/>
          <w:sz w:val="24"/>
          <w:szCs w:val="24"/>
        </w:rPr>
        <w:t>4.</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Hume, R. J. </w:t>
      </w:r>
      <w:r w:rsidRPr="00624B31">
        <w:rPr>
          <w:rStyle w:val="Bodytext2Spacing-1pt0"/>
          <w:rFonts w:ascii="Times New Roman" w:hAnsi="Times New Roman" w:cs="Times New Roman"/>
          <w:spacing w:val="0"/>
          <w:sz w:val="24"/>
          <w:szCs w:val="24"/>
        </w:rPr>
        <w:t>(</w:t>
      </w:r>
      <w:r w:rsidRPr="00BC2208">
        <w:rPr>
          <w:rStyle w:val="Bodytext2Spacing-1pt0"/>
          <w:rFonts w:ascii="Times New Roman" w:hAnsi="Times New Roman" w:cs="Times New Roman"/>
          <w:spacing w:val="0"/>
          <w:sz w:val="24"/>
          <w:szCs w:val="24"/>
        </w:rPr>
        <w:t>2009).</w:t>
      </w:r>
      <w:r w:rsidRPr="00BC2208">
        <w:rPr>
          <w:rFonts w:ascii="Times New Roman" w:hAnsi="Times New Roman" w:cs="Times New Roman"/>
          <w:sz w:val="24"/>
          <w:szCs w:val="24"/>
        </w:rPr>
        <w:t xml:space="preserve"> The Impact of Judicial Opinion Language on the Transmission of Federal Circuit Court Precedents. </w:t>
      </w:r>
      <w:proofErr w:type="gramStart"/>
      <w:r w:rsidRPr="00BC2208">
        <w:rPr>
          <w:rStyle w:val="Bodytext2Italic"/>
          <w:rFonts w:ascii="Times New Roman" w:hAnsi="Times New Roman" w:cs="Times New Roman"/>
          <w:sz w:val="24"/>
          <w:szCs w:val="24"/>
        </w:rPr>
        <w:t xml:space="preserve">Law &amp; Society Review </w:t>
      </w:r>
      <w:r w:rsidRPr="005965D5">
        <w:rPr>
          <w:rStyle w:val="Bodytext2Italic"/>
          <w:rFonts w:ascii="Times New Roman" w:hAnsi="Times New Roman" w:cs="Times New Roman"/>
          <w:i w:val="0"/>
          <w:sz w:val="24"/>
          <w:szCs w:val="24"/>
        </w:rPr>
        <w:t>43</w:t>
      </w:r>
      <w:r w:rsidRPr="006C2AA7">
        <w:rPr>
          <w:rStyle w:val="Bodytext2Italic"/>
          <w:rFonts w:ascii="Times New Roman" w:hAnsi="Times New Roman" w:cs="Times New Roman"/>
          <w:i w:val="0"/>
          <w:sz w:val="24"/>
          <w:szCs w:val="24"/>
        </w:rPr>
        <w:t>(1),</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127</w:t>
      </w:r>
      <w:r w:rsidRPr="00624B31">
        <w:rPr>
          <w:rStyle w:val="Bodytext2Spacing-1pt0"/>
          <w:rFonts w:ascii="Times New Roman" w:hAnsi="Times New Roman" w:cs="Times New Roman"/>
          <w:spacing w:val="0"/>
          <w:sz w:val="24"/>
          <w:szCs w:val="24"/>
        </w:rPr>
        <w:t>-150.</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Johnson, C. A. </w:t>
      </w:r>
      <w:r w:rsidRPr="00624B31">
        <w:rPr>
          <w:rStyle w:val="Bodytext2Spacing-1pt0"/>
          <w:rFonts w:ascii="Times New Roman" w:hAnsi="Times New Roman" w:cs="Times New Roman"/>
          <w:spacing w:val="0"/>
          <w:sz w:val="24"/>
          <w:szCs w:val="24"/>
        </w:rPr>
        <w:t>(1979).</w:t>
      </w:r>
      <w:r w:rsidRPr="00624B31">
        <w:rPr>
          <w:rFonts w:ascii="Times New Roman" w:hAnsi="Times New Roman" w:cs="Times New Roman"/>
          <w:sz w:val="24"/>
          <w:szCs w:val="24"/>
        </w:rPr>
        <w:t xml:space="preserve"> Lower Court Reactions to Supreme Court Decisions: A Quantitative Examination. </w:t>
      </w:r>
      <w:proofErr w:type="gramStart"/>
      <w:r w:rsidRPr="00624B31">
        <w:rPr>
          <w:rStyle w:val="Bodytext2Italic"/>
          <w:rFonts w:ascii="Times New Roman" w:hAnsi="Times New Roman" w:cs="Times New Roman"/>
          <w:sz w:val="24"/>
          <w:szCs w:val="24"/>
        </w:rPr>
        <w:t xml:space="preserve">American Journal of Political </w:t>
      </w:r>
      <w:r w:rsidRPr="00BC2208">
        <w:rPr>
          <w:rStyle w:val="Bodytext2Italic"/>
          <w:rFonts w:ascii="Times New Roman" w:hAnsi="Times New Roman" w:cs="Times New Roman"/>
          <w:sz w:val="24"/>
          <w:szCs w:val="24"/>
        </w:rPr>
        <w:t xml:space="preserve">Science </w:t>
      </w:r>
      <w:r w:rsidRPr="005965D5">
        <w:rPr>
          <w:rStyle w:val="Bodytext2Italic"/>
          <w:rFonts w:ascii="Times New Roman" w:hAnsi="Times New Roman" w:cs="Times New Roman"/>
          <w:i w:val="0"/>
          <w:sz w:val="24"/>
          <w:szCs w:val="24"/>
        </w:rPr>
        <w:t>23</w:t>
      </w:r>
      <w:r w:rsidR="006C2AA7">
        <w:rPr>
          <w:rStyle w:val="Bodytext2Italic"/>
          <w:rFonts w:ascii="Times New Roman" w:hAnsi="Times New Roman" w:cs="Times New Roman"/>
          <w:i w:val="0"/>
          <w:sz w:val="24"/>
          <w:szCs w:val="24"/>
        </w:rPr>
        <w:t>(4</w:t>
      </w:r>
      <w:r w:rsidRPr="006C2AA7">
        <w:rPr>
          <w:rStyle w:val="Bodytext2Italic"/>
          <w:rFonts w:ascii="Times New Roman" w:hAnsi="Times New Roman" w:cs="Times New Roman"/>
          <w:i w:val="0"/>
          <w:sz w:val="24"/>
          <w:szCs w:val="24"/>
        </w:rPr>
        <w:t>),</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792-804.</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Kastellec</w:t>
      </w:r>
      <w:proofErr w:type="spellEnd"/>
      <w:r w:rsidRPr="00624B31">
        <w:rPr>
          <w:rFonts w:ascii="Times New Roman" w:hAnsi="Times New Roman" w:cs="Times New Roman"/>
          <w:sz w:val="24"/>
          <w:szCs w:val="24"/>
        </w:rPr>
        <w:t xml:space="preserve">, J. P. </w:t>
      </w:r>
      <w:r w:rsidRPr="00624B31">
        <w:rPr>
          <w:rStyle w:val="Bodytext2Spacing-1pt0"/>
          <w:rFonts w:ascii="Times New Roman" w:hAnsi="Times New Roman" w:cs="Times New Roman"/>
          <w:spacing w:val="0"/>
          <w:sz w:val="24"/>
          <w:szCs w:val="24"/>
        </w:rPr>
        <w:t>(2007).</w:t>
      </w:r>
      <w:r w:rsidRPr="00624B31">
        <w:rPr>
          <w:rFonts w:ascii="Times New Roman" w:hAnsi="Times New Roman" w:cs="Times New Roman"/>
          <w:sz w:val="24"/>
          <w:szCs w:val="24"/>
        </w:rPr>
        <w:t xml:space="preserve"> Panel Composition and Judicial Compliance on the U.S. Courts of Appeals. </w:t>
      </w:r>
      <w:proofErr w:type="gramStart"/>
      <w:r w:rsidRPr="00624B31">
        <w:rPr>
          <w:rStyle w:val="Bodytext2Italic"/>
          <w:rFonts w:ascii="Times New Roman" w:hAnsi="Times New Roman" w:cs="Times New Roman"/>
          <w:sz w:val="24"/>
          <w:szCs w:val="24"/>
        </w:rPr>
        <w:t xml:space="preserve">Journal of </w:t>
      </w:r>
      <w:r w:rsidRPr="00BC2208">
        <w:rPr>
          <w:rStyle w:val="Bodytext2Italic"/>
          <w:rFonts w:ascii="Times New Roman" w:hAnsi="Times New Roman" w:cs="Times New Roman"/>
          <w:sz w:val="24"/>
          <w:szCs w:val="24"/>
        </w:rPr>
        <w:t xml:space="preserve">Law, Economics, &amp; Organization </w:t>
      </w:r>
      <w:r w:rsidRPr="005965D5">
        <w:rPr>
          <w:rStyle w:val="Bodytext2Italic"/>
          <w:rFonts w:ascii="Times New Roman" w:hAnsi="Times New Roman" w:cs="Times New Roman"/>
          <w:i w:val="0"/>
          <w:sz w:val="24"/>
          <w:szCs w:val="24"/>
        </w:rPr>
        <w:t>23</w:t>
      </w:r>
      <w:r w:rsidRPr="006C2AA7">
        <w:rPr>
          <w:rStyle w:val="Bodytext2Italic"/>
          <w:rFonts w:ascii="Times New Roman" w:hAnsi="Times New Roman" w:cs="Times New Roman"/>
          <w:i w:val="0"/>
          <w:sz w:val="24"/>
          <w:szCs w:val="24"/>
        </w:rPr>
        <w:t>(2),</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421-441.</w:t>
      </w:r>
      <w:proofErr w:type="gramEnd"/>
    </w:p>
    <w:p w:rsidR="00C95181" w:rsidRPr="00624B31" w:rsidRDefault="00B90DEA" w:rsidP="005965D5">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Kastellec</w:t>
      </w:r>
      <w:proofErr w:type="spellEnd"/>
      <w:r w:rsidRPr="00624B31">
        <w:rPr>
          <w:rFonts w:ascii="Times New Roman" w:hAnsi="Times New Roman" w:cs="Times New Roman"/>
          <w:sz w:val="24"/>
          <w:szCs w:val="24"/>
        </w:rPr>
        <w:t xml:space="preserve">, J. P. </w:t>
      </w:r>
      <w:r w:rsidRPr="00624B31">
        <w:rPr>
          <w:rStyle w:val="Bodytext2Spacing-1pt0"/>
          <w:rFonts w:ascii="Times New Roman" w:hAnsi="Times New Roman" w:cs="Times New Roman"/>
          <w:spacing w:val="0"/>
          <w:sz w:val="24"/>
          <w:szCs w:val="24"/>
        </w:rPr>
        <w:t>(2011).</w:t>
      </w:r>
      <w:r w:rsidRPr="00624B31">
        <w:rPr>
          <w:rFonts w:ascii="Times New Roman" w:hAnsi="Times New Roman" w:cs="Times New Roman"/>
          <w:sz w:val="24"/>
          <w:szCs w:val="24"/>
        </w:rPr>
        <w:t xml:space="preserve"> </w:t>
      </w:r>
      <w:proofErr w:type="gramStart"/>
      <w:r w:rsidRPr="00624B31">
        <w:rPr>
          <w:rFonts w:ascii="Times New Roman" w:hAnsi="Times New Roman" w:cs="Times New Roman"/>
          <w:sz w:val="24"/>
          <w:szCs w:val="24"/>
        </w:rPr>
        <w:t>Hierarchical and Collegial Politics on the U.S. Courts of Appeals.</w:t>
      </w:r>
      <w:proofErr w:type="gramEnd"/>
      <w:r w:rsidR="005965D5">
        <w:rPr>
          <w:rFonts w:ascii="Times New Roman" w:hAnsi="Times New Roman" w:cs="Times New Roman"/>
          <w:sz w:val="24"/>
          <w:szCs w:val="24"/>
        </w:rPr>
        <w:t xml:space="preserve">  </w:t>
      </w:r>
      <w:proofErr w:type="gramStart"/>
      <w:r w:rsidRPr="005965D5">
        <w:rPr>
          <w:rFonts w:ascii="Times New Roman" w:hAnsi="Times New Roman" w:cs="Times New Roman"/>
          <w:i/>
          <w:sz w:val="24"/>
          <w:szCs w:val="24"/>
        </w:rPr>
        <w:t>Journal of Politics</w:t>
      </w:r>
      <w:r w:rsidRPr="00BC2208">
        <w:rPr>
          <w:rFonts w:ascii="Times New Roman" w:hAnsi="Times New Roman" w:cs="Times New Roman"/>
          <w:sz w:val="24"/>
          <w:szCs w:val="24"/>
        </w:rPr>
        <w:t xml:space="preserve"> </w:t>
      </w:r>
      <w:r w:rsidRPr="005965D5">
        <w:rPr>
          <w:rFonts w:ascii="Times New Roman" w:hAnsi="Times New Roman" w:cs="Times New Roman"/>
          <w:sz w:val="24"/>
          <w:szCs w:val="24"/>
        </w:rPr>
        <w:t>73(2),</w:t>
      </w:r>
      <w:r w:rsidRPr="00624B31">
        <w:rPr>
          <w:rStyle w:val="Bodytext5NotItalic"/>
          <w:rFonts w:ascii="Times New Roman" w:hAnsi="Times New Roman" w:cs="Times New Roman"/>
          <w:sz w:val="24"/>
          <w:szCs w:val="24"/>
        </w:rPr>
        <w:t xml:space="preserve"> </w:t>
      </w:r>
      <w:r w:rsidRPr="005965D5">
        <w:rPr>
          <w:rStyle w:val="Bodytext5NotItalic0"/>
          <w:rFonts w:ascii="Times New Roman" w:hAnsi="Times New Roman" w:cs="Times New Roman"/>
          <w:i w:val="0"/>
          <w:spacing w:val="0"/>
          <w:sz w:val="24"/>
          <w:szCs w:val="24"/>
        </w:rPr>
        <w:t>345-361</w:t>
      </w:r>
      <w:r w:rsidRPr="00624B31">
        <w:rPr>
          <w:rStyle w:val="Bodytext5NotItalic0"/>
          <w:rFonts w:ascii="Times New Roman" w:hAnsi="Times New Roman" w:cs="Times New Roman"/>
          <w:spacing w:val="0"/>
          <w:sz w:val="24"/>
          <w:szCs w:val="24"/>
        </w:rPr>
        <w:t>.</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Kastellec</w:t>
      </w:r>
      <w:proofErr w:type="spellEnd"/>
      <w:r w:rsidRPr="00624B31">
        <w:rPr>
          <w:rFonts w:ascii="Times New Roman" w:hAnsi="Times New Roman" w:cs="Times New Roman"/>
          <w:sz w:val="24"/>
          <w:szCs w:val="24"/>
        </w:rPr>
        <w:t xml:space="preserve">, J. P. </w:t>
      </w:r>
      <w:r w:rsidRPr="00624B31">
        <w:rPr>
          <w:rStyle w:val="Bodytext2Spacing-1pt0"/>
          <w:rFonts w:ascii="Times New Roman" w:hAnsi="Times New Roman" w:cs="Times New Roman"/>
          <w:spacing w:val="0"/>
          <w:sz w:val="24"/>
          <w:szCs w:val="24"/>
        </w:rPr>
        <w:t>(2013).</w:t>
      </w:r>
      <w:r w:rsidRPr="00624B31">
        <w:rPr>
          <w:rFonts w:ascii="Times New Roman" w:hAnsi="Times New Roman" w:cs="Times New Roman"/>
          <w:sz w:val="24"/>
          <w:szCs w:val="24"/>
        </w:rPr>
        <w:t xml:space="preserve"> Racial Diversity and Judicial Influence on Appellate Courts. </w:t>
      </w:r>
      <w:proofErr w:type="gramStart"/>
      <w:r w:rsidRPr="00624B31">
        <w:rPr>
          <w:rStyle w:val="Bodytext2Italic"/>
          <w:rFonts w:ascii="Times New Roman" w:hAnsi="Times New Roman" w:cs="Times New Roman"/>
          <w:sz w:val="24"/>
          <w:szCs w:val="24"/>
        </w:rPr>
        <w:t xml:space="preserve">American Journal of Political Science </w:t>
      </w:r>
      <w:r w:rsidRPr="005965D5">
        <w:rPr>
          <w:rStyle w:val="Bodytext2Italic"/>
          <w:rFonts w:ascii="Times New Roman" w:hAnsi="Times New Roman" w:cs="Times New Roman"/>
          <w:i w:val="0"/>
          <w:sz w:val="24"/>
          <w:szCs w:val="24"/>
        </w:rPr>
        <w:t>57</w:t>
      </w:r>
      <w:r w:rsidRPr="006C2AA7">
        <w:rPr>
          <w:rStyle w:val="Bodytext2Italic"/>
          <w:rFonts w:ascii="Times New Roman" w:hAnsi="Times New Roman" w:cs="Times New Roman"/>
          <w:i w:val="0"/>
          <w:sz w:val="24"/>
          <w:szCs w:val="24"/>
        </w:rPr>
        <w:t>(1),</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167-183.</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Kim, P. T. </w:t>
      </w:r>
      <w:r w:rsidRPr="00624B31">
        <w:rPr>
          <w:rStyle w:val="Bodytext2Spacing-1pt0"/>
          <w:rFonts w:ascii="Times New Roman" w:hAnsi="Times New Roman" w:cs="Times New Roman"/>
          <w:spacing w:val="0"/>
          <w:sz w:val="24"/>
          <w:szCs w:val="24"/>
        </w:rPr>
        <w:t>(2009).</w:t>
      </w:r>
      <w:r w:rsidRPr="00624B31">
        <w:rPr>
          <w:rFonts w:ascii="Times New Roman" w:hAnsi="Times New Roman" w:cs="Times New Roman"/>
          <w:sz w:val="24"/>
          <w:szCs w:val="24"/>
        </w:rPr>
        <w:t xml:space="preserve"> Deliberation and Strategy on the United States Courts of Appeals: An Empirical Exploration of Panel Effects. </w:t>
      </w:r>
      <w:proofErr w:type="gramStart"/>
      <w:r w:rsidRPr="00624B31">
        <w:rPr>
          <w:rStyle w:val="Bodytext2Italic"/>
          <w:rFonts w:ascii="Times New Roman" w:hAnsi="Times New Roman" w:cs="Times New Roman"/>
          <w:sz w:val="24"/>
          <w:szCs w:val="24"/>
        </w:rPr>
        <w:t xml:space="preserve">University of Pennsylvania Law Review </w:t>
      </w:r>
      <w:r w:rsidRPr="005965D5">
        <w:rPr>
          <w:rStyle w:val="Bodytext2Italic"/>
          <w:rFonts w:ascii="Times New Roman" w:hAnsi="Times New Roman" w:cs="Times New Roman"/>
          <w:i w:val="0"/>
          <w:sz w:val="24"/>
          <w:szCs w:val="24"/>
        </w:rPr>
        <w:t>157</w:t>
      </w:r>
      <w:r w:rsidRPr="006C2AA7">
        <w:rPr>
          <w:rStyle w:val="Bodytext2Italic"/>
          <w:rFonts w:ascii="Times New Roman" w:hAnsi="Times New Roman" w:cs="Times New Roman"/>
          <w:i w:val="0"/>
          <w:sz w:val="24"/>
          <w:szCs w:val="24"/>
        </w:rPr>
        <w:t>(5),</w:t>
      </w:r>
      <w:r w:rsidRPr="00624B31">
        <w:rPr>
          <w:rStyle w:val="Bodytext2Italic"/>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1319-1381.</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Klein, D. and D. </w:t>
      </w:r>
      <w:proofErr w:type="spellStart"/>
      <w:r w:rsidRPr="00624B31">
        <w:rPr>
          <w:rFonts w:ascii="Times New Roman" w:hAnsi="Times New Roman" w:cs="Times New Roman"/>
          <w:sz w:val="24"/>
          <w:szCs w:val="24"/>
        </w:rPr>
        <w:t>Morrisroe</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(1999).</w:t>
      </w:r>
      <w:r w:rsidRPr="00624B31">
        <w:rPr>
          <w:rFonts w:ascii="Times New Roman" w:hAnsi="Times New Roman" w:cs="Times New Roman"/>
          <w:sz w:val="24"/>
          <w:szCs w:val="24"/>
        </w:rPr>
        <w:t xml:space="preserve"> The Prestige and Influence of Individual Judges on the U.S. Courts of Appeals. </w:t>
      </w:r>
      <w:proofErr w:type="gramStart"/>
      <w:r w:rsidRPr="00624B31">
        <w:rPr>
          <w:rStyle w:val="Bodytext2Italic"/>
          <w:rFonts w:ascii="Times New Roman" w:hAnsi="Times New Roman" w:cs="Times New Roman"/>
          <w:sz w:val="24"/>
          <w:szCs w:val="24"/>
        </w:rPr>
        <w:t xml:space="preserve">Journal of Legal Studies </w:t>
      </w:r>
      <w:r w:rsidRPr="005965D5">
        <w:rPr>
          <w:rStyle w:val="Bodytext2Italic"/>
          <w:rFonts w:ascii="Times New Roman" w:hAnsi="Times New Roman" w:cs="Times New Roman"/>
          <w:i w:val="0"/>
          <w:sz w:val="24"/>
          <w:szCs w:val="24"/>
        </w:rPr>
        <w:t>28</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371-391.</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Landes</w:t>
      </w:r>
      <w:proofErr w:type="spellEnd"/>
      <w:r w:rsidRPr="00624B31">
        <w:rPr>
          <w:rFonts w:ascii="Times New Roman" w:hAnsi="Times New Roman" w:cs="Times New Roman"/>
          <w:sz w:val="24"/>
          <w:szCs w:val="24"/>
        </w:rPr>
        <w:t xml:space="preserve">, W. </w:t>
      </w:r>
      <w:r w:rsidRPr="00BC2208">
        <w:rPr>
          <w:rFonts w:ascii="Times New Roman" w:hAnsi="Times New Roman" w:cs="Times New Roman"/>
          <w:sz w:val="24"/>
          <w:szCs w:val="24"/>
        </w:rPr>
        <w:t>M., L</w:t>
      </w:r>
      <w:r w:rsidRPr="00624B31">
        <w:rPr>
          <w:rFonts w:ascii="Times New Roman" w:hAnsi="Times New Roman" w:cs="Times New Roman"/>
          <w:sz w:val="24"/>
          <w:szCs w:val="24"/>
        </w:rPr>
        <w:t xml:space="preserve">. </w:t>
      </w:r>
      <w:proofErr w:type="spellStart"/>
      <w:r w:rsidRPr="00624B31">
        <w:rPr>
          <w:rFonts w:ascii="Times New Roman" w:hAnsi="Times New Roman" w:cs="Times New Roman"/>
          <w:sz w:val="24"/>
          <w:szCs w:val="24"/>
        </w:rPr>
        <w:t>Lessig</w:t>
      </w:r>
      <w:proofErr w:type="spellEnd"/>
      <w:r w:rsidRPr="00624B31">
        <w:rPr>
          <w:rFonts w:ascii="Times New Roman" w:hAnsi="Times New Roman" w:cs="Times New Roman"/>
          <w:sz w:val="24"/>
          <w:szCs w:val="24"/>
        </w:rPr>
        <w:t xml:space="preserve">, and M. E. </w:t>
      </w:r>
      <w:proofErr w:type="spellStart"/>
      <w:r w:rsidRPr="00624B31">
        <w:rPr>
          <w:rFonts w:ascii="Times New Roman" w:hAnsi="Times New Roman" w:cs="Times New Roman"/>
          <w:sz w:val="24"/>
          <w:szCs w:val="24"/>
        </w:rPr>
        <w:t>Solimine</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(1998).</w:t>
      </w:r>
      <w:r w:rsidRPr="00624B31">
        <w:rPr>
          <w:rFonts w:ascii="Times New Roman" w:hAnsi="Times New Roman" w:cs="Times New Roman"/>
          <w:sz w:val="24"/>
          <w:szCs w:val="24"/>
        </w:rPr>
        <w:t xml:space="preserve"> Judicial Influence: A Citation Analysis of Federal Courts of Appeals Judges. </w:t>
      </w:r>
      <w:proofErr w:type="gramStart"/>
      <w:r w:rsidRPr="00624B31">
        <w:rPr>
          <w:rStyle w:val="Bodytext2Italic"/>
          <w:rFonts w:ascii="Times New Roman" w:hAnsi="Times New Roman" w:cs="Times New Roman"/>
          <w:sz w:val="24"/>
          <w:szCs w:val="24"/>
        </w:rPr>
        <w:t xml:space="preserve">Journal of Legal Studies </w:t>
      </w:r>
      <w:r w:rsidRPr="005965D5">
        <w:rPr>
          <w:rStyle w:val="Bodytext2Italic"/>
          <w:rFonts w:ascii="Times New Roman" w:hAnsi="Times New Roman" w:cs="Times New Roman"/>
          <w:i w:val="0"/>
          <w:sz w:val="24"/>
          <w:szCs w:val="24"/>
        </w:rPr>
        <w:t>27</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271-332</w:t>
      </w:r>
      <w:r w:rsidRPr="006C2AA7">
        <w:rPr>
          <w:rStyle w:val="Bodytext2Spacing-1pt0"/>
          <w:rFonts w:ascii="Times New Roman" w:hAnsi="Times New Roman" w:cs="Times New Roman"/>
          <w:spacing w:val="0"/>
          <w:sz w:val="24"/>
          <w:szCs w:val="24"/>
        </w:rPr>
        <w:t>.</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Lax, J. R. </w:t>
      </w:r>
      <w:r w:rsidRPr="00624B31">
        <w:rPr>
          <w:rStyle w:val="Bodytext2Spacing-1pt0"/>
          <w:rFonts w:ascii="Times New Roman" w:hAnsi="Times New Roman" w:cs="Times New Roman"/>
          <w:spacing w:val="0"/>
          <w:sz w:val="24"/>
          <w:szCs w:val="24"/>
        </w:rPr>
        <w:t>(</w:t>
      </w:r>
      <w:r w:rsidRPr="00BC2208">
        <w:rPr>
          <w:rStyle w:val="Bodytext2Spacing-1pt0"/>
          <w:rFonts w:ascii="Times New Roman" w:hAnsi="Times New Roman" w:cs="Times New Roman"/>
          <w:spacing w:val="0"/>
          <w:sz w:val="24"/>
          <w:szCs w:val="24"/>
        </w:rPr>
        <w:t>2007).</w:t>
      </w:r>
      <w:r w:rsidRPr="00BC2208">
        <w:rPr>
          <w:rFonts w:ascii="Times New Roman" w:hAnsi="Times New Roman" w:cs="Times New Roman"/>
          <w:sz w:val="24"/>
          <w:szCs w:val="24"/>
        </w:rPr>
        <w:t xml:space="preserve"> Constructing Legal Rules on Appellate Courts. </w:t>
      </w:r>
      <w:proofErr w:type="gramStart"/>
      <w:r w:rsidRPr="00BC2208">
        <w:rPr>
          <w:rStyle w:val="Bodytext2Italic"/>
          <w:rFonts w:ascii="Times New Roman" w:hAnsi="Times New Roman" w:cs="Times New Roman"/>
          <w:sz w:val="24"/>
          <w:szCs w:val="24"/>
        </w:rPr>
        <w:t xml:space="preserve">American Political Science Review </w:t>
      </w:r>
      <w:r w:rsidRPr="005965D5">
        <w:rPr>
          <w:rStyle w:val="Bodytext2Italic"/>
          <w:rFonts w:ascii="Times New Roman" w:hAnsi="Times New Roman" w:cs="Times New Roman"/>
          <w:i w:val="0"/>
          <w:sz w:val="24"/>
          <w:szCs w:val="24"/>
        </w:rPr>
        <w:t>101</w:t>
      </w:r>
      <w:r w:rsidRPr="006C2AA7">
        <w:rPr>
          <w:rStyle w:val="Bodytext2Italic"/>
          <w:rFonts w:ascii="Times New Roman" w:hAnsi="Times New Roman" w:cs="Times New Roman"/>
          <w:i w:val="0"/>
          <w:sz w:val="24"/>
          <w:szCs w:val="24"/>
        </w:rPr>
        <w:t>(3),</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591-604.</w:t>
      </w:r>
      <w:proofErr w:type="gramEnd"/>
    </w:p>
    <w:p w:rsidR="00BC2208" w:rsidRDefault="00B90DEA" w:rsidP="005965D5">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Lee III, E. G. </w:t>
      </w:r>
      <w:r w:rsidRPr="00624B31">
        <w:rPr>
          <w:rStyle w:val="Bodytext2Spacing-1pt0"/>
          <w:rFonts w:ascii="Times New Roman" w:hAnsi="Times New Roman" w:cs="Times New Roman"/>
          <w:spacing w:val="0"/>
          <w:sz w:val="24"/>
          <w:szCs w:val="24"/>
        </w:rPr>
        <w:t>(2003).</w:t>
      </w:r>
      <w:r w:rsidRPr="00624B31">
        <w:rPr>
          <w:rFonts w:ascii="Times New Roman" w:hAnsi="Times New Roman" w:cs="Times New Roman"/>
          <w:sz w:val="24"/>
          <w:szCs w:val="24"/>
        </w:rPr>
        <w:t xml:space="preserve"> Horizontal Stare Decisis on the U.S. Court of Appeals for the Sixth Circuit. </w:t>
      </w:r>
      <w:proofErr w:type="gramStart"/>
      <w:r w:rsidRPr="00624B31">
        <w:rPr>
          <w:rStyle w:val="Bodytext2Italic"/>
          <w:rFonts w:ascii="Times New Roman" w:hAnsi="Times New Roman" w:cs="Times New Roman"/>
          <w:sz w:val="24"/>
          <w:szCs w:val="24"/>
        </w:rPr>
        <w:t xml:space="preserve">Kentucky Law Journal </w:t>
      </w:r>
      <w:r w:rsidRPr="005965D5">
        <w:rPr>
          <w:rStyle w:val="Bodytext2Italic"/>
          <w:rFonts w:ascii="Times New Roman" w:hAnsi="Times New Roman" w:cs="Times New Roman"/>
          <w:i w:val="0"/>
          <w:sz w:val="24"/>
          <w:szCs w:val="24"/>
        </w:rPr>
        <w:t>92</w:t>
      </w:r>
      <w:r w:rsidRPr="006C2AA7">
        <w:rPr>
          <w:rStyle w:val="Bodytext2Italic"/>
          <w:rFonts w:ascii="Times New Roman" w:hAnsi="Times New Roman" w:cs="Times New Roman"/>
          <w:i w:val="0"/>
          <w:sz w:val="24"/>
          <w:szCs w:val="24"/>
        </w:rPr>
        <w:t>(3),</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767-1083.</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BC2208">
        <w:rPr>
          <w:rFonts w:ascii="Times New Roman" w:hAnsi="Times New Roman" w:cs="Times New Roman"/>
          <w:sz w:val="24"/>
          <w:szCs w:val="24"/>
        </w:rPr>
        <w:t>Maliniak</w:t>
      </w:r>
      <w:proofErr w:type="spellEnd"/>
      <w:r w:rsidRPr="00BC2208">
        <w:rPr>
          <w:rFonts w:ascii="Times New Roman" w:hAnsi="Times New Roman" w:cs="Times New Roman"/>
          <w:sz w:val="24"/>
          <w:szCs w:val="24"/>
        </w:rPr>
        <w:t xml:space="preserve">, D., R. Powers, and B. F. Walter </w:t>
      </w:r>
      <w:r w:rsidRPr="00BC2208">
        <w:rPr>
          <w:rStyle w:val="Bodytext2Spacing-1pt0"/>
          <w:rFonts w:ascii="Times New Roman" w:hAnsi="Times New Roman" w:cs="Times New Roman"/>
          <w:spacing w:val="0"/>
          <w:sz w:val="24"/>
          <w:szCs w:val="24"/>
        </w:rPr>
        <w:t>(2013).</w:t>
      </w:r>
      <w:r w:rsidRPr="00BC2208">
        <w:rPr>
          <w:rFonts w:ascii="Times New Roman" w:hAnsi="Times New Roman" w:cs="Times New Roman"/>
          <w:sz w:val="24"/>
          <w:szCs w:val="24"/>
        </w:rPr>
        <w:t xml:space="preserve"> The Gender Citation Gap in International Relations. </w:t>
      </w:r>
      <w:proofErr w:type="gramStart"/>
      <w:r w:rsidRPr="00BC2208">
        <w:rPr>
          <w:rStyle w:val="Bodytext2Italic"/>
          <w:rFonts w:ascii="Times New Roman" w:hAnsi="Times New Roman" w:cs="Times New Roman"/>
          <w:sz w:val="24"/>
          <w:szCs w:val="24"/>
        </w:rPr>
        <w:t xml:space="preserve">International Organization </w:t>
      </w:r>
      <w:r w:rsidRPr="005965D5">
        <w:rPr>
          <w:rStyle w:val="Bodytext2Italic"/>
          <w:rFonts w:ascii="Times New Roman" w:hAnsi="Times New Roman" w:cs="Times New Roman"/>
          <w:i w:val="0"/>
          <w:sz w:val="24"/>
          <w:szCs w:val="24"/>
        </w:rPr>
        <w:t>67(</w:t>
      </w:r>
      <w:r w:rsidRPr="005965D5">
        <w:rPr>
          <w:rFonts w:ascii="Times New Roman" w:hAnsi="Times New Roman" w:cs="Times New Roman"/>
          <w:sz w:val="24"/>
          <w:szCs w:val="24"/>
        </w:rPr>
        <w:t>4),</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889-922.</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Maltzman</w:t>
      </w:r>
      <w:proofErr w:type="spellEnd"/>
      <w:r w:rsidRPr="00624B31">
        <w:rPr>
          <w:rFonts w:ascii="Times New Roman" w:hAnsi="Times New Roman" w:cs="Times New Roman"/>
          <w:sz w:val="24"/>
          <w:szCs w:val="24"/>
        </w:rPr>
        <w:t xml:space="preserve">, </w:t>
      </w:r>
      <w:r w:rsidRPr="00BC2208">
        <w:rPr>
          <w:rFonts w:ascii="Times New Roman" w:hAnsi="Times New Roman" w:cs="Times New Roman"/>
          <w:sz w:val="24"/>
          <w:szCs w:val="24"/>
        </w:rPr>
        <w:t xml:space="preserve">F., J. F. </w:t>
      </w:r>
      <w:proofErr w:type="spellStart"/>
      <w:r w:rsidRPr="00BC2208">
        <w:rPr>
          <w:rFonts w:ascii="Times New Roman" w:hAnsi="Times New Roman" w:cs="Times New Roman"/>
          <w:sz w:val="24"/>
          <w:szCs w:val="24"/>
        </w:rPr>
        <w:t>Spriggs</w:t>
      </w:r>
      <w:proofErr w:type="spellEnd"/>
      <w:r w:rsidRPr="00BC2208">
        <w:rPr>
          <w:rFonts w:ascii="Times New Roman" w:hAnsi="Times New Roman" w:cs="Times New Roman"/>
          <w:sz w:val="24"/>
          <w:szCs w:val="24"/>
        </w:rPr>
        <w:t xml:space="preserve">, II, and P. J. </w:t>
      </w:r>
      <w:proofErr w:type="spellStart"/>
      <w:r w:rsidRPr="00BC2208">
        <w:rPr>
          <w:rFonts w:ascii="Times New Roman" w:hAnsi="Times New Roman" w:cs="Times New Roman"/>
          <w:sz w:val="24"/>
          <w:szCs w:val="24"/>
        </w:rPr>
        <w:t>Wahlbeck</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(2000).</w:t>
      </w:r>
      <w:r w:rsidRPr="00624B31">
        <w:rPr>
          <w:rFonts w:ascii="Times New Roman" w:hAnsi="Times New Roman" w:cs="Times New Roman"/>
          <w:sz w:val="24"/>
          <w:szCs w:val="24"/>
        </w:rPr>
        <w:t xml:space="preserve"> </w:t>
      </w:r>
      <w:r w:rsidRPr="00624B31">
        <w:rPr>
          <w:rStyle w:val="Bodytext2Italic"/>
          <w:rFonts w:ascii="Times New Roman" w:hAnsi="Times New Roman" w:cs="Times New Roman"/>
          <w:sz w:val="24"/>
          <w:szCs w:val="24"/>
        </w:rPr>
        <w:t>Crafting Law on the Supreme Court: The Collegial Game.</w:t>
      </w:r>
      <w:r w:rsidRPr="00624B31">
        <w:rPr>
          <w:rFonts w:ascii="Times New Roman" w:hAnsi="Times New Roman" w:cs="Times New Roman"/>
          <w:sz w:val="24"/>
          <w:szCs w:val="24"/>
        </w:rPr>
        <w:t xml:space="preserve"> Cambridge University Press.</w:t>
      </w:r>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proofErr w:type="spellStart"/>
      <w:r w:rsidRPr="00624B31">
        <w:rPr>
          <w:rFonts w:ascii="Times New Roman" w:hAnsi="Times New Roman" w:cs="Times New Roman"/>
          <w:sz w:val="24"/>
          <w:szCs w:val="24"/>
        </w:rPr>
        <w:t>Maltzman</w:t>
      </w:r>
      <w:proofErr w:type="spellEnd"/>
      <w:r w:rsidRPr="00624B31">
        <w:rPr>
          <w:rFonts w:ascii="Times New Roman" w:hAnsi="Times New Roman" w:cs="Times New Roman"/>
          <w:sz w:val="24"/>
          <w:szCs w:val="24"/>
        </w:rPr>
        <w:t xml:space="preserve">, F. and P. J. </w:t>
      </w:r>
      <w:proofErr w:type="spellStart"/>
      <w:r w:rsidRPr="00624B31">
        <w:rPr>
          <w:rFonts w:ascii="Times New Roman" w:hAnsi="Times New Roman" w:cs="Times New Roman"/>
          <w:sz w:val="24"/>
          <w:szCs w:val="24"/>
        </w:rPr>
        <w:t>Wahlbeck</w:t>
      </w:r>
      <w:proofErr w:type="spellEnd"/>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(1996).</w:t>
      </w:r>
      <w:r w:rsidRPr="00624B31">
        <w:rPr>
          <w:rFonts w:ascii="Times New Roman" w:hAnsi="Times New Roman" w:cs="Times New Roman"/>
          <w:sz w:val="24"/>
          <w:szCs w:val="24"/>
        </w:rPr>
        <w:t xml:space="preserve"> May it Please the Chief? Opinion Assignments in the Rehnquist Court. </w:t>
      </w:r>
      <w:proofErr w:type="gramStart"/>
      <w:r w:rsidRPr="00624B31">
        <w:rPr>
          <w:rStyle w:val="Bodytext2Italic"/>
          <w:rFonts w:ascii="Times New Roman" w:hAnsi="Times New Roman" w:cs="Times New Roman"/>
          <w:sz w:val="24"/>
          <w:szCs w:val="24"/>
        </w:rPr>
        <w:t xml:space="preserve">American Journal of Political Science </w:t>
      </w:r>
      <w:r w:rsidR="00BC2208" w:rsidRPr="00B33677">
        <w:rPr>
          <w:rStyle w:val="Bodytext2Italic"/>
          <w:rFonts w:ascii="Times New Roman" w:hAnsi="Times New Roman" w:cs="Times New Roman"/>
          <w:i w:val="0"/>
          <w:sz w:val="24"/>
          <w:szCs w:val="24"/>
        </w:rPr>
        <w:t>40</w:t>
      </w:r>
      <w:r w:rsidRPr="006C2AA7">
        <w:rPr>
          <w:rStyle w:val="Bodytext2Italic"/>
          <w:rFonts w:ascii="Times New Roman" w:hAnsi="Times New Roman" w:cs="Times New Roman"/>
          <w:i w:val="0"/>
          <w:sz w:val="24"/>
          <w:szCs w:val="24"/>
        </w:rPr>
        <w:t>(2),</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421-443</w:t>
      </w:r>
      <w:r w:rsidRPr="00624B31">
        <w:rPr>
          <w:rStyle w:val="Bodytext2Spacing-1pt0"/>
          <w:rFonts w:ascii="Times New Roman" w:hAnsi="Times New Roman" w:cs="Times New Roman"/>
          <w:spacing w:val="0"/>
          <w:sz w:val="24"/>
          <w:szCs w:val="24"/>
        </w:rPr>
        <w:t>.</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Margolis, J. </w:t>
      </w:r>
      <w:r w:rsidRPr="00624B31">
        <w:rPr>
          <w:rStyle w:val="Bodytext2Spacing-1pt0"/>
          <w:rFonts w:ascii="Times New Roman" w:hAnsi="Times New Roman" w:cs="Times New Roman"/>
          <w:spacing w:val="0"/>
          <w:sz w:val="24"/>
          <w:szCs w:val="24"/>
        </w:rPr>
        <w:t>(1967).</w:t>
      </w:r>
      <w:r w:rsidRPr="00624B31">
        <w:rPr>
          <w:rFonts w:ascii="Times New Roman" w:hAnsi="Times New Roman" w:cs="Times New Roman"/>
          <w:sz w:val="24"/>
          <w:szCs w:val="24"/>
        </w:rPr>
        <w:t xml:space="preserve"> Citation Indexing and Evaluation of Scientific Papers. </w:t>
      </w:r>
      <w:proofErr w:type="gramStart"/>
      <w:r w:rsidRPr="00624B31">
        <w:rPr>
          <w:rStyle w:val="Bodytext2Italic"/>
          <w:rFonts w:ascii="Times New Roman" w:hAnsi="Times New Roman" w:cs="Times New Roman"/>
          <w:sz w:val="24"/>
          <w:szCs w:val="24"/>
        </w:rPr>
        <w:t>Science</w:t>
      </w:r>
      <w:r w:rsidRPr="00624B31">
        <w:rPr>
          <w:rFonts w:ascii="Times New Roman" w:hAnsi="Times New Roman" w:cs="Times New Roman"/>
          <w:sz w:val="24"/>
          <w:szCs w:val="24"/>
        </w:rPr>
        <w:t xml:space="preserve"> </w:t>
      </w:r>
      <w:r w:rsidRPr="00B33677">
        <w:rPr>
          <w:rStyle w:val="Bodytext2Spacing-1pt0"/>
          <w:rFonts w:ascii="Times New Roman" w:hAnsi="Times New Roman" w:cs="Times New Roman"/>
          <w:spacing w:val="0"/>
          <w:sz w:val="24"/>
          <w:szCs w:val="24"/>
        </w:rPr>
        <w:t>155</w:t>
      </w:r>
      <w:r w:rsidRPr="00624B31">
        <w:rPr>
          <w:rStyle w:val="Bodytext2Spacing-1pt0"/>
          <w:rFonts w:ascii="Times New Roman" w:hAnsi="Times New Roman" w:cs="Times New Roman"/>
          <w:spacing w:val="0"/>
          <w:sz w:val="24"/>
          <w:szCs w:val="24"/>
        </w:rPr>
        <w:t>(3767), 1213-</w:t>
      </w:r>
      <w:r w:rsidRPr="00BC2208">
        <w:rPr>
          <w:rStyle w:val="Bodytext2Spacing-1pt0"/>
          <w:rFonts w:ascii="Times New Roman" w:hAnsi="Times New Roman" w:cs="Times New Roman"/>
          <w:spacing w:val="0"/>
          <w:sz w:val="24"/>
          <w:szCs w:val="24"/>
        </w:rPr>
        <w:t>1219.</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 xml:space="preserve">Merritt, G. S. </w:t>
      </w:r>
      <w:r w:rsidRPr="00624B31">
        <w:rPr>
          <w:rStyle w:val="Bodytext2Spacing-1pt0"/>
          <w:rFonts w:ascii="Times New Roman" w:hAnsi="Times New Roman" w:cs="Times New Roman"/>
          <w:spacing w:val="0"/>
          <w:sz w:val="24"/>
          <w:szCs w:val="24"/>
        </w:rPr>
        <w:t>(1990).</w:t>
      </w:r>
      <w:r w:rsidRPr="00624B31">
        <w:rPr>
          <w:rFonts w:ascii="Times New Roman" w:hAnsi="Times New Roman" w:cs="Times New Roman"/>
          <w:sz w:val="24"/>
          <w:szCs w:val="24"/>
        </w:rPr>
        <w:t xml:space="preserve"> Judges on Judging: The Dec</w:t>
      </w:r>
      <w:r w:rsidR="00BC2208">
        <w:rPr>
          <w:rFonts w:ascii="Times New Roman" w:hAnsi="Times New Roman" w:cs="Times New Roman"/>
          <w:sz w:val="24"/>
          <w:szCs w:val="24"/>
        </w:rPr>
        <w:t xml:space="preserve">ision </w:t>
      </w:r>
      <w:r w:rsidRPr="00624B31">
        <w:rPr>
          <w:rFonts w:ascii="Times New Roman" w:hAnsi="Times New Roman" w:cs="Times New Roman"/>
          <w:sz w:val="24"/>
          <w:szCs w:val="24"/>
        </w:rPr>
        <w:t xml:space="preserve">Making Process in Federal Courts of Appeals. </w:t>
      </w:r>
      <w:proofErr w:type="gramStart"/>
      <w:r w:rsidRPr="00624B31">
        <w:rPr>
          <w:rStyle w:val="Bodytext2Italic"/>
          <w:rFonts w:ascii="Times New Roman" w:hAnsi="Times New Roman" w:cs="Times New Roman"/>
          <w:sz w:val="24"/>
          <w:szCs w:val="24"/>
        </w:rPr>
        <w:t xml:space="preserve">Ohio State Law Journal </w:t>
      </w:r>
      <w:r w:rsidRPr="00B33677">
        <w:rPr>
          <w:rStyle w:val="Bodytext2Italic"/>
          <w:rFonts w:ascii="Times New Roman" w:hAnsi="Times New Roman" w:cs="Times New Roman"/>
          <w:i w:val="0"/>
          <w:sz w:val="24"/>
          <w:szCs w:val="24"/>
        </w:rPr>
        <w:t>51</w:t>
      </w:r>
      <w:r w:rsidRPr="00624B31">
        <w:rPr>
          <w:rStyle w:val="Bodytext2Spacing-1pt0"/>
          <w:rFonts w:ascii="Times New Roman" w:hAnsi="Times New Roman" w:cs="Times New Roman"/>
          <w:spacing w:val="0"/>
          <w:sz w:val="24"/>
          <w:szCs w:val="24"/>
        </w:rPr>
        <w:t>(</w:t>
      </w:r>
      <w:r w:rsidRPr="00BC2208">
        <w:rPr>
          <w:rStyle w:val="Bodytext2Spacing-1pt0"/>
          <w:rFonts w:ascii="Times New Roman" w:hAnsi="Times New Roman" w:cs="Times New Roman"/>
          <w:spacing w:val="0"/>
          <w:sz w:val="24"/>
          <w:szCs w:val="24"/>
        </w:rPr>
        <w:t>5), 1385</w:t>
      </w:r>
      <w:r w:rsidRPr="00624B31">
        <w:rPr>
          <w:rStyle w:val="Bodytext2Spacing-1pt0"/>
          <w:rFonts w:ascii="Times New Roman" w:hAnsi="Times New Roman" w:cs="Times New Roman"/>
          <w:spacing w:val="0"/>
          <w:sz w:val="24"/>
          <w:szCs w:val="24"/>
        </w:rPr>
        <w:t>-1397.</w:t>
      </w:r>
      <w:proofErr w:type="gramEnd"/>
    </w:p>
    <w:p w:rsidR="00C95181" w:rsidRPr="00624B31" w:rsidRDefault="00B90DEA" w:rsidP="006400FB">
      <w:pPr>
        <w:pStyle w:val="Bodytext20"/>
        <w:shd w:val="clear" w:color="auto" w:fill="auto"/>
        <w:spacing w:before="0" w:line="480" w:lineRule="auto"/>
        <w:ind w:left="260" w:hanging="231"/>
        <w:rPr>
          <w:rFonts w:ascii="Times New Roman" w:hAnsi="Times New Roman" w:cs="Times New Roman"/>
          <w:sz w:val="24"/>
          <w:szCs w:val="24"/>
        </w:rPr>
      </w:pPr>
      <w:r w:rsidRPr="00624B31">
        <w:rPr>
          <w:rFonts w:ascii="Times New Roman" w:hAnsi="Times New Roman" w:cs="Times New Roman"/>
          <w:sz w:val="24"/>
          <w:szCs w:val="24"/>
        </w:rPr>
        <w:t>Murphy, W</w:t>
      </w:r>
      <w:r w:rsidRPr="00BC2208">
        <w:rPr>
          <w:rFonts w:ascii="Times New Roman" w:hAnsi="Times New Roman" w:cs="Times New Roman"/>
          <w:sz w:val="24"/>
          <w:szCs w:val="24"/>
        </w:rPr>
        <w:t xml:space="preserve">. F. </w:t>
      </w:r>
      <w:r w:rsidRPr="00BC2208">
        <w:rPr>
          <w:rStyle w:val="Bodytext2Spacing-1pt0"/>
          <w:rFonts w:ascii="Times New Roman" w:hAnsi="Times New Roman" w:cs="Times New Roman"/>
          <w:spacing w:val="0"/>
          <w:sz w:val="24"/>
          <w:szCs w:val="24"/>
        </w:rPr>
        <w:t>(1964).</w:t>
      </w:r>
      <w:r w:rsidRPr="00BC2208">
        <w:rPr>
          <w:rFonts w:ascii="Times New Roman" w:hAnsi="Times New Roman" w:cs="Times New Roman"/>
          <w:sz w:val="24"/>
          <w:szCs w:val="24"/>
        </w:rPr>
        <w:t xml:space="preserve"> </w:t>
      </w:r>
      <w:r w:rsidRPr="00BC2208">
        <w:rPr>
          <w:rStyle w:val="Bodytext2Italic"/>
          <w:rFonts w:ascii="Times New Roman" w:hAnsi="Times New Roman" w:cs="Times New Roman"/>
          <w:sz w:val="24"/>
          <w:szCs w:val="24"/>
        </w:rPr>
        <w:t>Elements</w:t>
      </w:r>
      <w:r w:rsidRPr="00624B31">
        <w:rPr>
          <w:rStyle w:val="Bodytext2Italic"/>
          <w:rFonts w:ascii="Times New Roman" w:hAnsi="Times New Roman" w:cs="Times New Roman"/>
          <w:sz w:val="24"/>
          <w:szCs w:val="24"/>
        </w:rPr>
        <w:t xml:space="preserve"> of Judicial Strategy,</w:t>
      </w:r>
      <w:r w:rsidRPr="00624B31">
        <w:rPr>
          <w:rFonts w:ascii="Times New Roman" w:hAnsi="Times New Roman" w:cs="Times New Roman"/>
          <w:sz w:val="24"/>
          <w:szCs w:val="24"/>
        </w:rPr>
        <w:t xml:space="preserve"> Volume </w:t>
      </w:r>
      <w:r w:rsidRPr="00624B31">
        <w:rPr>
          <w:rStyle w:val="Bodytext2Spacing-1pt0"/>
          <w:rFonts w:ascii="Times New Roman" w:hAnsi="Times New Roman" w:cs="Times New Roman"/>
          <w:spacing w:val="0"/>
          <w:sz w:val="24"/>
          <w:szCs w:val="24"/>
        </w:rPr>
        <w:t>551.</w:t>
      </w:r>
      <w:r w:rsidRPr="00624B31">
        <w:rPr>
          <w:rFonts w:ascii="Times New Roman" w:hAnsi="Times New Roman" w:cs="Times New Roman"/>
          <w:sz w:val="24"/>
          <w:szCs w:val="24"/>
        </w:rPr>
        <w:t xml:space="preserve"> University of Chicago Press.</w:t>
      </w:r>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Niblett</w:t>
      </w:r>
      <w:proofErr w:type="spellEnd"/>
      <w:r w:rsidRPr="00624B31">
        <w:rPr>
          <w:rFonts w:ascii="Times New Roman" w:hAnsi="Times New Roman" w:cs="Times New Roman"/>
          <w:sz w:val="24"/>
          <w:szCs w:val="24"/>
        </w:rPr>
        <w:t xml:space="preserve">, A. </w:t>
      </w:r>
      <w:r w:rsidRPr="00624B31">
        <w:rPr>
          <w:rStyle w:val="Bodytext2Spacing-1pt0"/>
          <w:rFonts w:ascii="Times New Roman" w:hAnsi="Times New Roman" w:cs="Times New Roman"/>
          <w:spacing w:val="0"/>
          <w:sz w:val="24"/>
          <w:szCs w:val="24"/>
        </w:rPr>
        <w:t>(2010).</w:t>
      </w:r>
      <w:r w:rsidRPr="00624B31">
        <w:rPr>
          <w:rFonts w:ascii="Times New Roman" w:hAnsi="Times New Roman" w:cs="Times New Roman"/>
          <w:sz w:val="24"/>
          <w:szCs w:val="24"/>
        </w:rPr>
        <w:t xml:space="preserve"> Do Judges Cherry Pick Precedents to Justify Extra-Legal Decisions? A Statistical Examination. </w:t>
      </w:r>
      <w:proofErr w:type="gramStart"/>
      <w:r w:rsidRPr="00624B31">
        <w:rPr>
          <w:rStyle w:val="Bodytext2Italic"/>
          <w:rFonts w:ascii="Times New Roman" w:hAnsi="Times New Roman" w:cs="Times New Roman"/>
          <w:sz w:val="24"/>
          <w:szCs w:val="24"/>
        </w:rPr>
        <w:t xml:space="preserve">Maryland Law </w:t>
      </w:r>
      <w:r w:rsidRPr="00BC2208">
        <w:rPr>
          <w:rStyle w:val="Bodytext2Italic"/>
          <w:rFonts w:ascii="Times New Roman" w:hAnsi="Times New Roman" w:cs="Times New Roman"/>
          <w:sz w:val="24"/>
          <w:szCs w:val="24"/>
        </w:rPr>
        <w:t xml:space="preserve">Review </w:t>
      </w:r>
      <w:r w:rsidRPr="00B33677">
        <w:rPr>
          <w:rStyle w:val="Bodytext2Italic"/>
          <w:rFonts w:ascii="Times New Roman" w:hAnsi="Times New Roman" w:cs="Times New Roman"/>
          <w:i w:val="0"/>
          <w:sz w:val="24"/>
          <w:szCs w:val="24"/>
        </w:rPr>
        <w:t>70</w:t>
      </w:r>
      <w:r w:rsidRPr="006C2AA7">
        <w:rPr>
          <w:rStyle w:val="Bodytext2Italic"/>
          <w:rFonts w:ascii="Times New Roman" w:hAnsi="Times New Roman" w:cs="Times New Roman"/>
          <w:i w:val="0"/>
          <w:sz w:val="24"/>
          <w:szCs w:val="24"/>
        </w:rPr>
        <w:t>(1),</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234-271.</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Niblett</w:t>
      </w:r>
      <w:proofErr w:type="spellEnd"/>
      <w:r w:rsidRPr="00624B31">
        <w:rPr>
          <w:rFonts w:ascii="Times New Roman" w:hAnsi="Times New Roman" w:cs="Times New Roman"/>
          <w:sz w:val="24"/>
          <w:szCs w:val="24"/>
        </w:rPr>
        <w:t xml:space="preserve">, A. and A. H. Yoon </w:t>
      </w:r>
      <w:r w:rsidRPr="00624B31">
        <w:rPr>
          <w:rStyle w:val="Bodytext2Spacing-1pt0"/>
          <w:rFonts w:ascii="Times New Roman" w:hAnsi="Times New Roman" w:cs="Times New Roman"/>
          <w:spacing w:val="0"/>
          <w:sz w:val="24"/>
          <w:szCs w:val="24"/>
        </w:rPr>
        <w:t>(2015).</w:t>
      </w:r>
      <w:r w:rsidRPr="00624B31">
        <w:rPr>
          <w:rFonts w:ascii="Times New Roman" w:hAnsi="Times New Roman" w:cs="Times New Roman"/>
          <w:sz w:val="24"/>
          <w:szCs w:val="24"/>
        </w:rPr>
        <w:t xml:space="preserve"> Friendly Precedent. </w:t>
      </w:r>
      <w:r w:rsidRPr="00624B31">
        <w:rPr>
          <w:rStyle w:val="Bodytext2Italic"/>
          <w:rFonts w:ascii="Times New Roman" w:hAnsi="Times New Roman" w:cs="Times New Roman"/>
          <w:sz w:val="24"/>
          <w:szCs w:val="24"/>
        </w:rPr>
        <w:t xml:space="preserve">William and Mary Law Review </w:t>
      </w:r>
      <w:r w:rsidRPr="00B33677">
        <w:rPr>
          <w:rStyle w:val="Bodytext2Italic"/>
          <w:rFonts w:ascii="Times New Roman" w:hAnsi="Times New Roman" w:cs="Times New Roman"/>
          <w:i w:val="0"/>
          <w:sz w:val="24"/>
          <w:szCs w:val="24"/>
        </w:rPr>
        <w:t>57</w:t>
      </w:r>
      <w:r w:rsidR="006C2AA7">
        <w:rPr>
          <w:rStyle w:val="Bodytext2Italic"/>
          <w:rFonts w:ascii="Times New Roman" w:hAnsi="Times New Roman" w:cs="Times New Roman"/>
          <w:i w:val="0"/>
          <w:sz w:val="24"/>
          <w:szCs w:val="24"/>
        </w:rPr>
        <w:t>(5</w:t>
      </w:r>
      <w:r w:rsidRPr="006C2AA7">
        <w:rPr>
          <w:rStyle w:val="Bodytext2Italic"/>
          <w:rFonts w:ascii="Times New Roman" w:hAnsi="Times New Roman" w:cs="Times New Roman"/>
          <w:i w:val="0"/>
          <w:sz w:val="24"/>
          <w:szCs w:val="24"/>
        </w:rPr>
        <w:t>),</w:t>
      </w:r>
      <w:r w:rsidRPr="00624B31">
        <w:rPr>
          <w:rStyle w:val="Bodytext2Italic"/>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1789-1823</w:t>
      </w:r>
      <w:r w:rsidRPr="00624B31">
        <w:rPr>
          <w:rStyle w:val="Bodytext2Spacing-1pt0"/>
          <w:rFonts w:ascii="Times New Roman" w:hAnsi="Times New Roman" w:cs="Times New Roman"/>
          <w:spacing w:val="0"/>
          <w:sz w:val="24"/>
          <w:szCs w:val="24"/>
        </w:rPr>
        <w:t>.</w:t>
      </w:r>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r w:rsidRPr="00624B31">
        <w:rPr>
          <w:rFonts w:ascii="Times New Roman" w:hAnsi="Times New Roman" w:cs="Times New Roman"/>
          <w:sz w:val="24"/>
          <w:szCs w:val="24"/>
        </w:rPr>
        <w:t xml:space="preserve">Poole, </w:t>
      </w:r>
      <w:r w:rsidRPr="00BC2208">
        <w:rPr>
          <w:rFonts w:ascii="Times New Roman" w:hAnsi="Times New Roman" w:cs="Times New Roman"/>
          <w:sz w:val="24"/>
          <w:szCs w:val="24"/>
        </w:rPr>
        <w:t xml:space="preserve">K. T. </w:t>
      </w:r>
      <w:r w:rsidRPr="00BC2208">
        <w:rPr>
          <w:rStyle w:val="Bodytext2Spacing-1pt0"/>
          <w:rFonts w:ascii="Times New Roman" w:hAnsi="Times New Roman" w:cs="Times New Roman"/>
          <w:spacing w:val="0"/>
          <w:sz w:val="24"/>
          <w:szCs w:val="24"/>
        </w:rPr>
        <w:t>(1998).</w:t>
      </w:r>
      <w:r w:rsidRPr="00BC2208">
        <w:rPr>
          <w:rFonts w:ascii="Times New Roman" w:hAnsi="Times New Roman" w:cs="Times New Roman"/>
          <w:sz w:val="24"/>
          <w:szCs w:val="24"/>
        </w:rPr>
        <w:t xml:space="preserve"> Recovering a Basic Space from a Set of Issue Scales. </w:t>
      </w:r>
      <w:proofErr w:type="gramStart"/>
      <w:r w:rsidRPr="00BC2208">
        <w:rPr>
          <w:rStyle w:val="Bodytext2Italic"/>
          <w:rFonts w:ascii="Times New Roman" w:hAnsi="Times New Roman" w:cs="Times New Roman"/>
          <w:sz w:val="24"/>
          <w:szCs w:val="24"/>
        </w:rPr>
        <w:t xml:space="preserve">American Journal of Political Science </w:t>
      </w:r>
      <w:r w:rsidR="006C2AA7" w:rsidRPr="00B33677">
        <w:rPr>
          <w:rStyle w:val="Bodytext2Italic"/>
          <w:rFonts w:ascii="Times New Roman" w:hAnsi="Times New Roman" w:cs="Times New Roman"/>
          <w:i w:val="0"/>
          <w:sz w:val="24"/>
          <w:szCs w:val="24"/>
        </w:rPr>
        <w:t>4</w:t>
      </w:r>
      <w:r w:rsidRPr="00B33677">
        <w:rPr>
          <w:rStyle w:val="Bodytext2Italic"/>
          <w:rFonts w:ascii="Times New Roman" w:hAnsi="Times New Roman" w:cs="Times New Roman"/>
          <w:i w:val="0"/>
          <w:sz w:val="24"/>
          <w:szCs w:val="24"/>
        </w:rPr>
        <w:t>2(</w:t>
      </w:r>
      <w:r w:rsidRPr="00B33677">
        <w:rPr>
          <w:rFonts w:ascii="Times New Roman" w:hAnsi="Times New Roman" w:cs="Times New Roman"/>
          <w:sz w:val="24"/>
          <w:szCs w:val="24"/>
        </w:rPr>
        <w:t>3),</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954-993.</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r w:rsidRPr="00624B31">
        <w:rPr>
          <w:rFonts w:ascii="Times New Roman" w:hAnsi="Times New Roman" w:cs="Times New Roman"/>
          <w:sz w:val="24"/>
          <w:szCs w:val="24"/>
        </w:rPr>
        <w:t xml:space="preserve">Posner, R. A. </w:t>
      </w:r>
      <w:r w:rsidRPr="00624B31">
        <w:rPr>
          <w:rStyle w:val="Bodytext2Spacing-1pt0"/>
          <w:rFonts w:ascii="Times New Roman" w:hAnsi="Times New Roman" w:cs="Times New Roman"/>
          <w:spacing w:val="0"/>
          <w:sz w:val="24"/>
          <w:szCs w:val="24"/>
        </w:rPr>
        <w:t>(</w:t>
      </w:r>
      <w:r w:rsidRPr="00BC2208">
        <w:rPr>
          <w:rStyle w:val="Bodytext2Spacing-1pt0"/>
          <w:rFonts w:ascii="Times New Roman" w:hAnsi="Times New Roman" w:cs="Times New Roman"/>
          <w:spacing w:val="0"/>
          <w:sz w:val="24"/>
          <w:szCs w:val="24"/>
        </w:rPr>
        <w:t>2008).</w:t>
      </w:r>
      <w:r w:rsidRPr="00624B31">
        <w:rPr>
          <w:rFonts w:ascii="Times New Roman" w:hAnsi="Times New Roman" w:cs="Times New Roman"/>
          <w:sz w:val="24"/>
          <w:szCs w:val="24"/>
        </w:rPr>
        <w:t xml:space="preserve"> </w:t>
      </w:r>
      <w:r w:rsidRPr="00624B31">
        <w:rPr>
          <w:rStyle w:val="Bodytext2Italic"/>
          <w:rFonts w:ascii="Times New Roman" w:hAnsi="Times New Roman" w:cs="Times New Roman"/>
          <w:sz w:val="24"/>
          <w:szCs w:val="24"/>
        </w:rPr>
        <w:t>How Judges Think.</w:t>
      </w:r>
      <w:r w:rsidRPr="00624B31">
        <w:rPr>
          <w:rFonts w:ascii="Times New Roman" w:hAnsi="Times New Roman" w:cs="Times New Roman"/>
          <w:sz w:val="24"/>
          <w:szCs w:val="24"/>
        </w:rPr>
        <w:t xml:space="preserve"> Harvard University Press.</w:t>
      </w:r>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r w:rsidRPr="00624B31">
        <w:rPr>
          <w:rFonts w:ascii="Times New Roman" w:hAnsi="Times New Roman" w:cs="Times New Roman"/>
          <w:sz w:val="24"/>
          <w:szCs w:val="24"/>
        </w:rPr>
        <w:t xml:space="preserve">Posner, R. A. </w:t>
      </w:r>
      <w:r w:rsidRPr="00624B31">
        <w:rPr>
          <w:rStyle w:val="Bodytext2Spacing-1pt0"/>
          <w:rFonts w:ascii="Times New Roman" w:hAnsi="Times New Roman" w:cs="Times New Roman"/>
          <w:spacing w:val="0"/>
          <w:sz w:val="24"/>
          <w:szCs w:val="24"/>
        </w:rPr>
        <w:t>(2011).</w:t>
      </w:r>
      <w:r w:rsidRPr="00624B31">
        <w:rPr>
          <w:rFonts w:ascii="Times New Roman" w:hAnsi="Times New Roman" w:cs="Times New Roman"/>
          <w:sz w:val="24"/>
          <w:szCs w:val="24"/>
        </w:rPr>
        <w:t xml:space="preserve"> Realism about Judges. </w:t>
      </w:r>
      <w:proofErr w:type="gramStart"/>
      <w:r w:rsidRPr="00624B31">
        <w:rPr>
          <w:rStyle w:val="Bodytext2Italic"/>
          <w:rFonts w:ascii="Times New Roman" w:hAnsi="Times New Roman" w:cs="Times New Roman"/>
          <w:sz w:val="24"/>
          <w:szCs w:val="24"/>
        </w:rPr>
        <w:t xml:space="preserve">Northwestern University Law Review </w:t>
      </w:r>
      <w:r w:rsidRPr="00B33677">
        <w:rPr>
          <w:rStyle w:val="Bodytext2Italic"/>
          <w:rFonts w:ascii="Times New Roman" w:hAnsi="Times New Roman" w:cs="Times New Roman"/>
          <w:i w:val="0"/>
          <w:sz w:val="24"/>
          <w:szCs w:val="24"/>
        </w:rPr>
        <w:t>105</w:t>
      </w:r>
      <w:r w:rsidRPr="006C2AA7">
        <w:rPr>
          <w:rStyle w:val="Bodytext2Italic"/>
          <w:rFonts w:ascii="Times New Roman" w:hAnsi="Times New Roman" w:cs="Times New Roman"/>
          <w:i w:val="0"/>
          <w:sz w:val="24"/>
          <w:szCs w:val="24"/>
        </w:rPr>
        <w:t>(2),</w:t>
      </w:r>
      <w:r w:rsidRPr="00624B31">
        <w:rPr>
          <w:rStyle w:val="Bodytext2Italic"/>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577-586.</w:t>
      </w:r>
      <w:proofErr w:type="gramEnd"/>
    </w:p>
    <w:p w:rsidR="00C3656E" w:rsidRPr="00624B31" w:rsidRDefault="00B90DEA" w:rsidP="00B33677">
      <w:pPr>
        <w:pStyle w:val="Bodytext20"/>
        <w:shd w:val="clear" w:color="auto" w:fill="auto"/>
        <w:spacing w:before="0" w:line="480" w:lineRule="auto"/>
        <w:ind w:left="280"/>
        <w:rPr>
          <w:rFonts w:ascii="Times New Roman" w:hAnsi="Times New Roman" w:cs="Times New Roman"/>
          <w:sz w:val="24"/>
          <w:szCs w:val="24"/>
        </w:rPr>
      </w:pPr>
      <w:r w:rsidRPr="00624B31">
        <w:rPr>
          <w:rFonts w:ascii="Times New Roman" w:hAnsi="Times New Roman" w:cs="Times New Roman"/>
          <w:sz w:val="24"/>
          <w:szCs w:val="24"/>
        </w:rPr>
        <w:t xml:space="preserve">Reagan, R. </w:t>
      </w:r>
      <w:r w:rsidRPr="00624B31">
        <w:rPr>
          <w:rStyle w:val="Bodytext2Spacing-1pt0"/>
          <w:rFonts w:ascii="Times New Roman" w:hAnsi="Times New Roman" w:cs="Times New Roman"/>
          <w:spacing w:val="0"/>
          <w:sz w:val="24"/>
          <w:szCs w:val="24"/>
        </w:rPr>
        <w:t>(</w:t>
      </w:r>
      <w:r w:rsidRPr="00BC2208">
        <w:rPr>
          <w:rStyle w:val="Bodytext2Spacing-1pt0"/>
          <w:rFonts w:ascii="Times New Roman" w:hAnsi="Times New Roman" w:cs="Times New Roman"/>
          <w:spacing w:val="0"/>
          <w:sz w:val="24"/>
          <w:szCs w:val="24"/>
        </w:rPr>
        <w:t>2006).</w:t>
      </w:r>
      <w:r w:rsidRPr="00BC2208">
        <w:rPr>
          <w:rFonts w:ascii="Times New Roman" w:hAnsi="Times New Roman" w:cs="Times New Roman"/>
          <w:sz w:val="24"/>
          <w:szCs w:val="24"/>
        </w:rPr>
        <w:t xml:space="preserve"> A Snapshot of Briefs, Opinions, and Citations in Federal Appeals. </w:t>
      </w:r>
      <w:proofErr w:type="gramStart"/>
      <w:r w:rsidRPr="00BC2208">
        <w:rPr>
          <w:rStyle w:val="Bodytext2Italic"/>
          <w:rFonts w:ascii="Times New Roman" w:hAnsi="Times New Roman" w:cs="Times New Roman"/>
          <w:sz w:val="24"/>
          <w:szCs w:val="24"/>
        </w:rPr>
        <w:t xml:space="preserve">Journal of Appellate Practice and Procedure </w:t>
      </w:r>
      <w:r w:rsidRPr="00B33677">
        <w:rPr>
          <w:rStyle w:val="Bodytext2Italic"/>
          <w:rFonts w:ascii="Times New Roman" w:hAnsi="Times New Roman" w:cs="Times New Roman"/>
          <w:i w:val="0"/>
          <w:sz w:val="24"/>
          <w:szCs w:val="24"/>
        </w:rPr>
        <w:t>8</w:t>
      </w:r>
      <w:r w:rsidRPr="006C2AA7">
        <w:rPr>
          <w:rStyle w:val="Bodytext2Italic"/>
          <w:rFonts w:ascii="Times New Roman" w:hAnsi="Times New Roman" w:cs="Times New Roman"/>
          <w:i w:val="0"/>
          <w:sz w:val="24"/>
          <w:szCs w:val="24"/>
        </w:rPr>
        <w:t>(2),</w:t>
      </w:r>
      <w:r w:rsidRPr="00BC2208">
        <w:rPr>
          <w:rFonts w:ascii="Times New Roman" w:hAnsi="Times New Roman" w:cs="Times New Roman"/>
          <w:sz w:val="24"/>
          <w:szCs w:val="24"/>
        </w:rPr>
        <w:t xml:space="preserve"> </w:t>
      </w:r>
      <w:r w:rsidRPr="00BC2208">
        <w:rPr>
          <w:rStyle w:val="Bodytext2Spacing-1pt0"/>
          <w:rFonts w:ascii="Times New Roman" w:hAnsi="Times New Roman" w:cs="Times New Roman"/>
          <w:spacing w:val="0"/>
          <w:sz w:val="24"/>
          <w:szCs w:val="24"/>
        </w:rPr>
        <w:t>321-354.</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Revesz</w:t>
      </w:r>
      <w:proofErr w:type="spellEnd"/>
      <w:r w:rsidRPr="00624B31">
        <w:rPr>
          <w:rFonts w:ascii="Times New Roman" w:hAnsi="Times New Roman" w:cs="Times New Roman"/>
          <w:sz w:val="24"/>
          <w:szCs w:val="24"/>
        </w:rPr>
        <w:t xml:space="preserve">, </w:t>
      </w:r>
      <w:r w:rsidRPr="00BC2208">
        <w:rPr>
          <w:rFonts w:ascii="Times New Roman" w:hAnsi="Times New Roman" w:cs="Times New Roman"/>
          <w:sz w:val="24"/>
          <w:szCs w:val="24"/>
        </w:rPr>
        <w:t xml:space="preserve">R. L. </w:t>
      </w:r>
      <w:r w:rsidRPr="00BC2208">
        <w:rPr>
          <w:rStyle w:val="Bodytext2Spacing-1pt0"/>
          <w:rFonts w:ascii="Times New Roman" w:hAnsi="Times New Roman" w:cs="Times New Roman"/>
          <w:spacing w:val="0"/>
          <w:sz w:val="24"/>
          <w:szCs w:val="24"/>
        </w:rPr>
        <w:t>(1997).</w:t>
      </w:r>
      <w:r w:rsidRPr="00BC2208">
        <w:rPr>
          <w:rFonts w:ascii="Times New Roman" w:hAnsi="Times New Roman" w:cs="Times New Roman"/>
          <w:sz w:val="24"/>
          <w:szCs w:val="24"/>
        </w:rPr>
        <w:t xml:space="preserve"> Environmental Regulation, Ideology, and the D.C. Circuit. </w:t>
      </w:r>
      <w:proofErr w:type="gramStart"/>
      <w:r w:rsidRPr="00BC2208">
        <w:rPr>
          <w:rStyle w:val="Bodytext2Italic"/>
          <w:rFonts w:ascii="Times New Roman" w:hAnsi="Times New Roman" w:cs="Times New Roman"/>
          <w:sz w:val="24"/>
          <w:szCs w:val="24"/>
        </w:rPr>
        <w:t xml:space="preserve">Virginia Law Review </w:t>
      </w:r>
      <w:r w:rsidRPr="00B33677">
        <w:rPr>
          <w:rStyle w:val="Bodytext2Italic"/>
          <w:rFonts w:ascii="Times New Roman" w:hAnsi="Times New Roman" w:cs="Times New Roman"/>
          <w:i w:val="0"/>
          <w:sz w:val="24"/>
          <w:szCs w:val="24"/>
        </w:rPr>
        <w:t>83</w:t>
      </w:r>
      <w:r w:rsidRPr="006C2AA7">
        <w:rPr>
          <w:rStyle w:val="Bodytext2Italic"/>
          <w:rFonts w:ascii="Times New Roman" w:hAnsi="Times New Roman" w:cs="Times New Roman"/>
          <w:i w:val="0"/>
          <w:sz w:val="24"/>
          <w:szCs w:val="24"/>
        </w:rPr>
        <w:t>(8),</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1717-1772.</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Schauer</w:t>
      </w:r>
      <w:proofErr w:type="spellEnd"/>
      <w:r w:rsidRPr="00BC2208">
        <w:rPr>
          <w:rFonts w:ascii="Times New Roman" w:hAnsi="Times New Roman" w:cs="Times New Roman"/>
          <w:sz w:val="24"/>
          <w:szCs w:val="24"/>
        </w:rPr>
        <w:t xml:space="preserve">, F. </w:t>
      </w:r>
      <w:r w:rsidRPr="00BC2208">
        <w:rPr>
          <w:rStyle w:val="Bodytext2Spacing-1pt0"/>
          <w:rFonts w:ascii="Times New Roman" w:hAnsi="Times New Roman" w:cs="Times New Roman"/>
          <w:spacing w:val="0"/>
          <w:sz w:val="24"/>
          <w:szCs w:val="24"/>
        </w:rPr>
        <w:t>(1987).</w:t>
      </w:r>
      <w:r w:rsidRPr="00BC2208">
        <w:rPr>
          <w:rFonts w:ascii="Times New Roman" w:hAnsi="Times New Roman" w:cs="Times New Roman"/>
          <w:sz w:val="24"/>
          <w:szCs w:val="24"/>
        </w:rPr>
        <w:t xml:space="preserve"> Precedent. </w:t>
      </w:r>
      <w:proofErr w:type="gramStart"/>
      <w:r w:rsidRPr="00BC2208">
        <w:rPr>
          <w:rStyle w:val="Bodytext2Italic"/>
          <w:rFonts w:ascii="Times New Roman" w:hAnsi="Times New Roman" w:cs="Times New Roman"/>
          <w:sz w:val="24"/>
          <w:szCs w:val="24"/>
        </w:rPr>
        <w:t xml:space="preserve">Stanford Law Review </w:t>
      </w:r>
      <w:r w:rsidRPr="00B33677">
        <w:rPr>
          <w:rStyle w:val="Bodytext2Italic"/>
          <w:rFonts w:ascii="Times New Roman" w:hAnsi="Times New Roman" w:cs="Times New Roman"/>
          <w:i w:val="0"/>
          <w:sz w:val="24"/>
          <w:szCs w:val="24"/>
        </w:rPr>
        <w:t>89</w:t>
      </w:r>
      <w:r w:rsidRPr="006C2AA7">
        <w:rPr>
          <w:rStyle w:val="Bodytext2Italic"/>
          <w:rFonts w:ascii="Times New Roman" w:hAnsi="Times New Roman" w:cs="Times New Roman"/>
          <w:i w:val="0"/>
          <w:sz w:val="24"/>
          <w:szCs w:val="24"/>
        </w:rPr>
        <w:t>(3),</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571-605.</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Songer</w:t>
      </w:r>
      <w:proofErr w:type="spellEnd"/>
      <w:r w:rsidRPr="00624B31">
        <w:rPr>
          <w:rFonts w:ascii="Times New Roman" w:hAnsi="Times New Roman" w:cs="Times New Roman"/>
          <w:sz w:val="24"/>
          <w:szCs w:val="24"/>
        </w:rPr>
        <w:t>, D</w:t>
      </w:r>
      <w:r w:rsidRPr="006C2AA7">
        <w:rPr>
          <w:rFonts w:ascii="Times New Roman" w:hAnsi="Times New Roman" w:cs="Times New Roman"/>
          <w:sz w:val="24"/>
          <w:szCs w:val="24"/>
        </w:rPr>
        <w:t xml:space="preserve">. R., R. S. Sheehan, and S. B. </w:t>
      </w:r>
      <w:proofErr w:type="spellStart"/>
      <w:r w:rsidRPr="006C2AA7">
        <w:rPr>
          <w:rFonts w:ascii="Times New Roman" w:hAnsi="Times New Roman" w:cs="Times New Roman"/>
          <w:sz w:val="24"/>
          <w:szCs w:val="24"/>
        </w:rPr>
        <w:t>Haire</w:t>
      </w:r>
      <w:proofErr w:type="spellEnd"/>
      <w:r w:rsidRPr="006C2AA7">
        <w:rPr>
          <w:rFonts w:ascii="Times New Roman" w:hAnsi="Times New Roman" w:cs="Times New Roman"/>
          <w:sz w:val="24"/>
          <w:szCs w:val="24"/>
        </w:rPr>
        <w:t xml:space="preserve"> </w:t>
      </w:r>
      <w:r w:rsidRPr="006C2AA7">
        <w:rPr>
          <w:rStyle w:val="Bodytext2Spacing-1pt0"/>
          <w:rFonts w:ascii="Times New Roman" w:hAnsi="Times New Roman" w:cs="Times New Roman"/>
          <w:spacing w:val="0"/>
          <w:sz w:val="24"/>
          <w:szCs w:val="24"/>
        </w:rPr>
        <w:t>(2000).</w:t>
      </w:r>
      <w:r w:rsidRPr="006C2AA7">
        <w:rPr>
          <w:rFonts w:ascii="Times New Roman" w:hAnsi="Times New Roman" w:cs="Times New Roman"/>
          <w:sz w:val="24"/>
          <w:szCs w:val="24"/>
        </w:rPr>
        <w:t xml:space="preserve"> </w:t>
      </w:r>
      <w:r w:rsidRPr="006C2AA7">
        <w:rPr>
          <w:rStyle w:val="Bodytext2Italic"/>
          <w:rFonts w:ascii="Times New Roman" w:hAnsi="Times New Roman" w:cs="Times New Roman"/>
          <w:sz w:val="24"/>
          <w:szCs w:val="24"/>
        </w:rPr>
        <w:t>Continuity and Change on the United States Courts of Appeals.</w:t>
      </w:r>
      <w:r w:rsidRPr="006C2AA7">
        <w:rPr>
          <w:rFonts w:ascii="Times New Roman" w:hAnsi="Times New Roman" w:cs="Times New Roman"/>
          <w:sz w:val="24"/>
          <w:szCs w:val="24"/>
        </w:rPr>
        <w:t xml:space="preserve"> </w:t>
      </w:r>
      <w:proofErr w:type="gramStart"/>
      <w:r w:rsidR="00B33677" w:rsidRPr="006C2AA7">
        <w:rPr>
          <w:rFonts w:ascii="Times New Roman" w:hAnsi="Times New Roman" w:cs="Times New Roman"/>
          <w:sz w:val="24"/>
          <w:szCs w:val="24"/>
        </w:rPr>
        <w:t>University</w:t>
      </w:r>
      <w:r w:rsidRPr="00624B31">
        <w:rPr>
          <w:rFonts w:ascii="Times New Roman" w:hAnsi="Times New Roman" w:cs="Times New Roman"/>
          <w:sz w:val="24"/>
          <w:szCs w:val="24"/>
        </w:rPr>
        <w:t xml:space="preserve"> of Michigan Press.</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r w:rsidRPr="00624B31">
        <w:rPr>
          <w:rFonts w:ascii="Times New Roman" w:hAnsi="Times New Roman" w:cs="Times New Roman"/>
          <w:sz w:val="24"/>
          <w:szCs w:val="24"/>
        </w:rPr>
        <w:t xml:space="preserve">Spitzer, M. and E. Talley </w:t>
      </w:r>
      <w:r w:rsidRPr="00624B31">
        <w:rPr>
          <w:rStyle w:val="Bodytext2Spacing-1pt0"/>
          <w:rFonts w:ascii="Times New Roman" w:hAnsi="Times New Roman" w:cs="Times New Roman"/>
          <w:spacing w:val="0"/>
          <w:sz w:val="24"/>
          <w:szCs w:val="24"/>
        </w:rPr>
        <w:t>(2013).</w:t>
      </w:r>
      <w:r w:rsidRPr="00624B31">
        <w:rPr>
          <w:rFonts w:ascii="Times New Roman" w:hAnsi="Times New Roman" w:cs="Times New Roman"/>
          <w:sz w:val="24"/>
          <w:szCs w:val="24"/>
        </w:rPr>
        <w:t xml:space="preserve"> Left, Right, and Center: Strategic Information Acquisition and Diversity in Judicial Panels. </w:t>
      </w:r>
      <w:proofErr w:type="gramStart"/>
      <w:r w:rsidRPr="00624B31">
        <w:rPr>
          <w:rStyle w:val="Bodytext2Italic"/>
          <w:rFonts w:ascii="Times New Roman" w:hAnsi="Times New Roman" w:cs="Times New Roman"/>
          <w:sz w:val="24"/>
          <w:szCs w:val="24"/>
        </w:rPr>
        <w:t xml:space="preserve">Journal of Law, Economics, &amp; Organization </w:t>
      </w:r>
      <w:r w:rsidRPr="00B33677">
        <w:rPr>
          <w:rStyle w:val="Bodytext2Italic"/>
          <w:rFonts w:ascii="Times New Roman" w:hAnsi="Times New Roman" w:cs="Times New Roman"/>
          <w:i w:val="0"/>
          <w:sz w:val="24"/>
          <w:szCs w:val="24"/>
        </w:rPr>
        <w:t>29</w:t>
      </w:r>
      <w:r w:rsidRPr="006C2AA7">
        <w:rPr>
          <w:rStyle w:val="Bodytext2Italic"/>
          <w:rFonts w:ascii="Times New Roman" w:hAnsi="Times New Roman" w:cs="Times New Roman"/>
          <w:i w:val="0"/>
          <w:sz w:val="24"/>
          <w:szCs w:val="24"/>
        </w:rPr>
        <w:t>(3),</w:t>
      </w:r>
      <w:r w:rsidRPr="00624B31">
        <w:rPr>
          <w:rStyle w:val="Bodytext2Italic"/>
          <w:rFonts w:ascii="Times New Roman" w:hAnsi="Times New Roman" w:cs="Times New Roman"/>
          <w:sz w:val="24"/>
          <w:szCs w:val="24"/>
        </w:rPr>
        <w:t xml:space="preserve"> </w:t>
      </w:r>
      <w:r w:rsidRPr="006C2AA7">
        <w:rPr>
          <w:rStyle w:val="Bodytext2Spacing-1pt0"/>
          <w:rFonts w:ascii="Times New Roman" w:hAnsi="Times New Roman" w:cs="Times New Roman"/>
          <w:spacing w:val="0"/>
          <w:sz w:val="24"/>
          <w:szCs w:val="24"/>
        </w:rPr>
        <w:t>638-680</w:t>
      </w:r>
      <w:r w:rsidRPr="00624B31">
        <w:rPr>
          <w:rStyle w:val="Bodytext2Spacing-1pt0"/>
          <w:rFonts w:ascii="Times New Roman" w:hAnsi="Times New Roman" w:cs="Times New Roman"/>
          <w:spacing w:val="0"/>
          <w:sz w:val="24"/>
          <w:szCs w:val="24"/>
        </w:rPr>
        <w:t>.</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II, J. F. and T. G. Hansford </w:t>
      </w:r>
      <w:r w:rsidRPr="00624B31">
        <w:rPr>
          <w:rStyle w:val="Bodytext2Spacing-1pt0"/>
          <w:rFonts w:ascii="Times New Roman" w:hAnsi="Times New Roman" w:cs="Times New Roman"/>
          <w:spacing w:val="0"/>
          <w:sz w:val="24"/>
          <w:szCs w:val="24"/>
        </w:rPr>
        <w:t>(2000).</w:t>
      </w:r>
      <w:r w:rsidRPr="00624B31">
        <w:rPr>
          <w:rFonts w:ascii="Times New Roman" w:hAnsi="Times New Roman" w:cs="Times New Roman"/>
          <w:sz w:val="24"/>
          <w:szCs w:val="24"/>
        </w:rPr>
        <w:t xml:space="preserve"> Measuring Legal Change: The Reliability and Validity of </w:t>
      </w:r>
      <w:r w:rsidRPr="00624B31">
        <w:rPr>
          <w:rStyle w:val="Bodytext2Italic"/>
          <w:rFonts w:ascii="Times New Roman" w:hAnsi="Times New Roman" w:cs="Times New Roman"/>
          <w:sz w:val="24"/>
          <w:szCs w:val="24"/>
        </w:rPr>
        <w:t>Shepard’s</w:t>
      </w:r>
      <w:r w:rsidRPr="00624B31">
        <w:rPr>
          <w:rFonts w:ascii="Times New Roman" w:hAnsi="Times New Roman" w:cs="Times New Roman"/>
          <w:sz w:val="24"/>
          <w:szCs w:val="24"/>
        </w:rPr>
        <w:t xml:space="preserve"> Citations. </w:t>
      </w:r>
      <w:proofErr w:type="gramStart"/>
      <w:r w:rsidRPr="00624B31">
        <w:rPr>
          <w:rStyle w:val="Bodytext2Italic"/>
          <w:rFonts w:ascii="Times New Roman" w:hAnsi="Times New Roman" w:cs="Times New Roman"/>
          <w:sz w:val="24"/>
          <w:szCs w:val="24"/>
        </w:rPr>
        <w:t xml:space="preserve">Political Research Quarterly </w:t>
      </w:r>
      <w:r w:rsidRPr="00B33677">
        <w:rPr>
          <w:rStyle w:val="Bodytext2Italic"/>
          <w:rFonts w:ascii="Times New Roman" w:hAnsi="Times New Roman" w:cs="Times New Roman"/>
          <w:i w:val="0"/>
          <w:sz w:val="24"/>
          <w:szCs w:val="24"/>
        </w:rPr>
        <w:t>53</w:t>
      </w:r>
      <w:r w:rsidRPr="006C2AA7">
        <w:rPr>
          <w:rStyle w:val="Bodytext2Italic"/>
          <w:rFonts w:ascii="Times New Roman" w:hAnsi="Times New Roman" w:cs="Times New Roman"/>
          <w:i w:val="0"/>
          <w:sz w:val="24"/>
          <w:szCs w:val="24"/>
        </w:rPr>
        <w:t>(2),</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327-341</w:t>
      </w:r>
      <w:r w:rsidRPr="006C2AA7">
        <w:rPr>
          <w:rStyle w:val="Bodytext2Spacing-1pt0"/>
          <w:rFonts w:ascii="Times New Roman" w:hAnsi="Times New Roman" w:cs="Times New Roman"/>
          <w:spacing w:val="0"/>
          <w:sz w:val="24"/>
          <w:szCs w:val="24"/>
        </w:rPr>
        <w:t>.</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24B31">
        <w:rPr>
          <w:rFonts w:ascii="Times New Roman" w:hAnsi="Times New Roman" w:cs="Times New Roman"/>
          <w:sz w:val="24"/>
          <w:szCs w:val="24"/>
        </w:rPr>
        <w:t>Spriggs</w:t>
      </w:r>
      <w:proofErr w:type="spellEnd"/>
      <w:r w:rsidRPr="00624B31">
        <w:rPr>
          <w:rFonts w:ascii="Times New Roman" w:hAnsi="Times New Roman" w:cs="Times New Roman"/>
          <w:sz w:val="24"/>
          <w:szCs w:val="24"/>
        </w:rPr>
        <w:t xml:space="preserve">, II, J. F. and T. G. Hansford </w:t>
      </w:r>
      <w:r w:rsidRPr="00624B31">
        <w:rPr>
          <w:rStyle w:val="Bodytext2Spacing-1pt0"/>
          <w:rFonts w:ascii="Times New Roman" w:hAnsi="Times New Roman" w:cs="Times New Roman"/>
          <w:spacing w:val="0"/>
          <w:sz w:val="24"/>
          <w:szCs w:val="24"/>
        </w:rPr>
        <w:t>(2002).</w:t>
      </w:r>
      <w:r w:rsidRPr="00624B31">
        <w:rPr>
          <w:rFonts w:ascii="Times New Roman" w:hAnsi="Times New Roman" w:cs="Times New Roman"/>
          <w:sz w:val="24"/>
          <w:szCs w:val="24"/>
        </w:rPr>
        <w:t xml:space="preserve"> The U.S. Supreme </w:t>
      </w:r>
      <w:r w:rsidRPr="00624B31">
        <w:rPr>
          <w:rStyle w:val="Bodytext2Spacing-1pt0"/>
          <w:rFonts w:ascii="Times New Roman" w:hAnsi="Times New Roman" w:cs="Times New Roman"/>
          <w:spacing w:val="0"/>
          <w:sz w:val="24"/>
          <w:szCs w:val="24"/>
        </w:rPr>
        <w:t>Court’s</w:t>
      </w:r>
      <w:r w:rsidRPr="00624B31">
        <w:rPr>
          <w:rFonts w:ascii="Times New Roman" w:hAnsi="Times New Roman" w:cs="Times New Roman"/>
          <w:sz w:val="24"/>
          <w:szCs w:val="24"/>
        </w:rPr>
        <w:t xml:space="preserve"> Incorporation and Interpretation of </w:t>
      </w:r>
      <w:r w:rsidRPr="006C2AA7">
        <w:rPr>
          <w:rFonts w:ascii="Times New Roman" w:hAnsi="Times New Roman" w:cs="Times New Roman"/>
          <w:sz w:val="24"/>
          <w:szCs w:val="24"/>
        </w:rPr>
        <w:t xml:space="preserve">Precedent. </w:t>
      </w:r>
      <w:proofErr w:type="gramStart"/>
      <w:r w:rsidRPr="006C2AA7">
        <w:rPr>
          <w:rStyle w:val="Bodytext2Italic"/>
          <w:rFonts w:ascii="Times New Roman" w:hAnsi="Times New Roman" w:cs="Times New Roman"/>
          <w:sz w:val="24"/>
          <w:szCs w:val="24"/>
        </w:rPr>
        <w:t>Law</w:t>
      </w:r>
      <w:r w:rsidRPr="00624B31">
        <w:rPr>
          <w:rStyle w:val="Bodytext2Italic"/>
          <w:rFonts w:ascii="Times New Roman" w:hAnsi="Times New Roman" w:cs="Times New Roman"/>
          <w:sz w:val="24"/>
          <w:szCs w:val="24"/>
        </w:rPr>
        <w:t xml:space="preserve"> &amp; Society Review </w:t>
      </w:r>
      <w:r w:rsidRPr="00B33677">
        <w:rPr>
          <w:rStyle w:val="Bodytext2Italic"/>
          <w:rFonts w:ascii="Times New Roman" w:hAnsi="Times New Roman" w:cs="Times New Roman"/>
          <w:i w:val="0"/>
          <w:sz w:val="24"/>
          <w:szCs w:val="24"/>
        </w:rPr>
        <w:t>36</w:t>
      </w:r>
      <w:r w:rsidRPr="006C2AA7">
        <w:rPr>
          <w:rStyle w:val="Bodytext2Italic"/>
          <w:rFonts w:ascii="Times New Roman" w:hAnsi="Times New Roman" w:cs="Times New Roman"/>
          <w:i w:val="0"/>
          <w:sz w:val="24"/>
          <w:szCs w:val="24"/>
        </w:rPr>
        <w:t>(1),</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139-159.</w:t>
      </w:r>
      <w:proofErr w:type="gramEnd"/>
    </w:p>
    <w:p w:rsidR="00C95181" w:rsidRPr="00624B31" w:rsidRDefault="00B90DEA" w:rsidP="006400FB">
      <w:pPr>
        <w:pStyle w:val="Bodytext50"/>
        <w:shd w:val="clear" w:color="auto" w:fill="auto"/>
        <w:spacing w:before="0" w:after="0" w:line="480" w:lineRule="auto"/>
        <w:ind w:left="280"/>
        <w:rPr>
          <w:rFonts w:ascii="Times New Roman" w:hAnsi="Times New Roman" w:cs="Times New Roman"/>
          <w:sz w:val="24"/>
          <w:szCs w:val="24"/>
        </w:rPr>
      </w:pPr>
      <w:proofErr w:type="spellStart"/>
      <w:r w:rsidRPr="006C2AA7">
        <w:rPr>
          <w:rStyle w:val="Bodytext5NotItalic"/>
          <w:rFonts w:ascii="Times New Roman" w:hAnsi="Times New Roman" w:cs="Times New Roman"/>
          <w:sz w:val="24"/>
          <w:szCs w:val="24"/>
        </w:rPr>
        <w:t>Sunstein</w:t>
      </w:r>
      <w:proofErr w:type="spellEnd"/>
      <w:r w:rsidRPr="006C2AA7">
        <w:rPr>
          <w:rStyle w:val="Bodytext5NotItalic"/>
          <w:rFonts w:ascii="Times New Roman" w:hAnsi="Times New Roman" w:cs="Times New Roman"/>
          <w:sz w:val="24"/>
          <w:szCs w:val="24"/>
        </w:rPr>
        <w:t xml:space="preserve">, C. R. </w:t>
      </w:r>
      <w:r w:rsidRPr="006C2AA7">
        <w:rPr>
          <w:rStyle w:val="Bodytext5NotItalic0"/>
          <w:rFonts w:ascii="Times New Roman" w:hAnsi="Times New Roman" w:cs="Times New Roman"/>
          <w:spacing w:val="0"/>
          <w:sz w:val="24"/>
          <w:szCs w:val="24"/>
        </w:rPr>
        <w:t>(2006).</w:t>
      </w:r>
      <w:r w:rsidRPr="006C2AA7">
        <w:rPr>
          <w:rStyle w:val="Bodytext5NotItalic"/>
          <w:rFonts w:ascii="Times New Roman" w:hAnsi="Times New Roman" w:cs="Times New Roman"/>
          <w:sz w:val="24"/>
          <w:szCs w:val="24"/>
        </w:rPr>
        <w:t xml:space="preserve"> </w:t>
      </w:r>
      <w:r w:rsidRPr="006C2AA7">
        <w:rPr>
          <w:rFonts w:ascii="Times New Roman" w:hAnsi="Times New Roman" w:cs="Times New Roman"/>
          <w:sz w:val="24"/>
          <w:szCs w:val="24"/>
        </w:rPr>
        <w:t>Are Judges Political</w:t>
      </w:r>
      <w:proofErr w:type="gramStart"/>
      <w:r w:rsidRPr="006C2AA7">
        <w:rPr>
          <w:rFonts w:ascii="Times New Roman" w:hAnsi="Times New Roman" w:cs="Times New Roman"/>
          <w:sz w:val="24"/>
          <w:szCs w:val="24"/>
        </w:rPr>
        <w:t>?:</w:t>
      </w:r>
      <w:proofErr w:type="gramEnd"/>
      <w:r w:rsidRPr="00624B31">
        <w:rPr>
          <w:rFonts w:ascii="Times New Roman" w:hAnsi="Times New Roman" w:cs="Times New Roman"/>
          <w:sz w:val="24"/>
          <w:szCs w:val="24"/>
        </w:rPr>
        <w:t xml:space="preserve"> An Empirical Analysis of the Federal Judiciary.</w:t>
      </w:r>
      <w:r w:rsidRPr="00624B31">
        <w:rPr>
          <w:rStyle w:val="Bodytext5NotItalic"/>
          <w:rFonts w:ascii="Times New Roman" w:hAnsi="Times New Roman" w:cs="Times New Roman"/>
          <w:sz w:val="24"/>
          <w:szCs w:val="24"/>
        </w:rPr>
        <w:t xml:space="preserve"> Brookings Institute Press.</w:t>
      </w:r>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r w:rsidRPr="00624B31">
        <w:rPr>
          <w:rFonts w:ascii="Times New Roman" w:hAnsi="Times New Roman" w:cs="Times New Roman"/>
          <w:sz w:val="24"/>
          <w:szCs w:val="24"/>
        </w:rPr>
        <w:t xml:space="preserve">Tiller, E. H. </w:t>
      </w:r>
      <w:r w:rsidRPr="00624B31">
        <w:rPr>
          <w:rStyle w:val="Bodytext2Spacing-1pt0"/>
          <w:rFonts w:ascii="Times New Roman" w:hAnsi="Times New Roman" w:cs="Times New Roman"/>
          <w:spacing w:val="0"/>
          <w:sz w:val="24"/>
          <w:szCs w:val="24"/>
        </w:rPr>
        <w:t>(2015).</w:t>
      </w:r>
      <w:r w:rsidRPr="00624B31">
        <w:rPr>
          <w:rFonts w:ascii="Times New Roman" w:hAnsi="Times New Roman" w:cs="Times New Roman"/>
          <w:sz w:val="24"/>
          <w:szCs w:val="24"/>
        </w:rPr>
        <w:t xml:space="preserve"> The Law and Positive Political Theory of Panel Effects. </w:t>
      </w:r>
      <w:proofErr w:type="gramStart"/>
      <w:r w:rsidRPr="00624B31">
        <w:rPr>
          <w:rStyle w:val="Bodytext2Italic"/>
          <w:rFonts w:ascii="Times New Roman" w:hAnsi="Times New Roman" w:cs="Times New Roman"/>
          <w:sz w:val="24"/>
          <w:szCs w:val="24"/>
        </w:rPr>
        <w:t>The Journal of Legal Studies</w:t>
      </w:r>
      <w:r w:rsidRPr="00624B31">
        <w:rPr>
          <w:rFonts w:ascii="Times New Roman" w:hAnsi="Times New Roman" w:cs="Times New Roman"/>
          <w:sz w:val="24"/>
          <w:szCs w:val="24"/>
        </w:rPr>
        <w:t xml:space="preserve"> </w:t>
      </w:r>
      <w:r w:rsidR="006C2AA7" w:rsidRPr="00B33677">
        <w:rPr>
          <w:rFonts w:ascii="Times New Roman" w:hAnsi="Times New Roman" w:cs="Times New Roman"/>
          <w:sz w:val="24"/>
          <w:szCs w:val="24"/>
        </w:rPr>
        <w:t>41</w:t>
      </w:r>
      <w:r w:rsidRPr="006C2AA7">
        <w:rPr>
          <w:rFonts w:ascii="Times New Roman" w:hAnsi="Times New Roman" w:cs="Times New Roman"/>
          <w:sz w:val="24"/>
          <w:szCs w:val="24"/>
        </w:rPr>
        <w:t>(</w:t>
      </w:r>
      <w:proofErr w:type="spellStart"/>
      <w:r w:rsidRPr="006C2AA7">
        <w:rPr>
          <w:rFonts w:ascii="Times New Roman" w:hAnsi="Times New Roman" w:cs="Times New Roman"/>
          <w:sz w:val="24"/>
          <w:szCs w:val="24"/>
        </w:rPr>
        <w:t>Sl</w:t>
      </w:r>
      <w:proofErr w:type="spellEnd"/>
      <w:r w:rsidRPr="006C2AA7">
        <w:rPr>
          <w:rFonts w:ascii="Times New Roman" w:hAnsi="Times New Roman" w:cs="Times New Roman"/>
          <w:sz w:val="24"/>
          <w:szCs w:val="24"/>
        </w:rPr>
        <w:t>),</w:t>
      </w:r>
      <w:r w:rsidRPr="00624B31">
        <w:rPr>
          <w:rFonts w:ascii="Times New Roman" w:hAnsi="Times New Roman" w:cs="Times New Roman"/>
          <w:sz w:val="24"/>
          <w:szCs w:val="24"/>
        </w:rPr>
        <w:t xml:space="preserve"> </w:t>
      </w:r>
      <w:r w:rsidRPr="00624B31">
        <w:rPr>
          <w:rStyle w:val="Bodytext2Spacing-1pt0"/>
          <w:rFonts w:ascii="Times New Roman" w:hAnsi="Times New Roman" w:cs="Times New Roman"/>
          <w:spacing w:val="0"/>
          <w:sz w:val="24"/>
          <w:szCs w:val="24"/>
        </w:rPr>
        <w:t>S35-S58.</w:t>
      </w:r>
      <w:proofErr w:type="gramEnd"/>
    </w:p>
    <w:p w:rsidR="00C95181" w:rsidRPr="00624B31" w:rsidRDefault="00B90DEA" w:rsidP="006400FB">
      <w:pPr>
        <w:pStyle w:val="Bodytext20"/>
        <w:shd w:val="clear" w:color="auto" w:fill="auto"/>
        <w:spacing w:before="0" w:line="480" w:lineRule="auto"/>
        <w:ind w:left="280"/>
        <w:rPr>
          <w:rFonts w:ascii="Times New Roman" w:hAnsi="Times New Roman" w:cs="Times New Roman"/>
          <w:sz w:val="24"/>
          <w:szCs w:val="24"/>
        </w:rPr>
      </w:pPr>
      <w:proofErr w:type="spellStart"/>
      <w:r w:rsidRPr="006C2AA7">
        <w:rPr>
          <w:rFonts w:ascii="Times New Roman" w:hAnsi="Times New Roman" w:cs="Times New Roman"/>
          <w:sz w:val="24"/>
          <w:szCs w:val="24"/>
        </w:rPr>
        <w:t>Westerland</w:t>
      </w:r>
      <w:proofErr w:type="spellEnd"/>
      <w:r w:rsidRPr="006C2AA7">
        <w:rPr>
          <w:rFonts w:ascii="Times New Roman" w:hAnsi="Times New Roman" w:cs="Times New Roman"/>
          <w:sz w:val="24"/>
          <w:szCs w:val="24"/>
        </w:rPr>
        <w:t xml:space="preserve">, C., J. A. Segal, L. Epstein, C. M. Cameron, and S. </w:t>
      </w:r>
      <w:proofErr w:type="spellStart"/>
      <w:r w:rsidRPr="006C2AA7">
        <w:rPr>
          <w:rFonts w:ascii="Times New Roman" w:hAnsi="Times New Roman" w:cs="Times New Roman"/>
          <w:sz w:val="24"/>
          <w:szCs w:val="24"/>
        </w:rPr>
        <w:t>Comparato</w:t>
      </w:r>
      <w:proofErr w:type="spellEnd"/>
      <w:r w:rsidRPr="006C2AA7">
        <w:rPr>
          <w:rFonts w:ascii="Times New Roman" w:hAnsi="Times New Roman" w:cs="Times New Roman"/>
          <w:sz w:val="24"/>
          <w:szCs w:val="24"/>
        </w:rPr>
        <w:t xml:space="preserve"> </w:t>
      </w:r>
      <w:r w:rsidRPr="006C2AA7">
        <w:rPr>
          <w:rStyle w:val="Bodytext2Spacing-1pt0"/>
          <w:rFonts w:ascii="Times New Roman" w:hAnsi="Times New Roman" w:cs="Times New Roman"/>
          <w:spacing w:val="0"/>
          <w:sz w:val="24"/>
          <w:szCs w:val="24"/>
        </w:rPr>
        <w:t>(2010).</w:t>
      </w:r>
      <w:r w:rsidRPr="006C2AA7">
        <w:rPr>
          <w:rFonts w:ascii="Times New Roman" w:hAnsi="Times New Roman" w:cs="Times New Roman"/>
          <w:sz w:val="24"/>
          <w:szCs w:val="24"/>
        </w:rPr>
        <w:t xml:space="preserve"> Strategic Defiance and Compliance in the U.S. Courts of Appeals. </w:t>
      </w:r>
      <w:proofErr w:type="gramStart"/>
      <w:r w:rsidRPr="006C2AA7">
        <w:rPr>
          <w:rStyle w:val="Bodytext2Italic"/>
          <w:rFonts w:ascii="Times New Roman" w:hAnsi="Times New Roman" w:cs="Times New Roman"/>
          <w:sz w:val="24"/>
          <w:szCs w:val="24"/>
        </w:rPr>
        <w:t xml:space="preserve">American Journal of Political Science </w:t>
      </w:r>
      <w:r w:rsidRPr="00B33677">
        <w:rPr>
          <w:rStyle w:val="Bodytext2Italic"/>
          <w:rFonts w:ascii="Times New Roman" w:hAnsi="Times New Roman" w:cs="Times New Roman"/>
          <w:i w:val="0"/>
          <w:sz w:val="24"/>
          <w:szCs w:val="24"/>
        </w:rPr>
        <w:t>5</w:t>
      </w:r>
      <w:r w:rsidR="006C2AA7" w:rsidRPr="00B33677">
        <w:rPr>
          <w:rStyle w:val="Bodytext2Italic"/>
          <w:rFonts w:ascii="Times New Roman" w:hAnsi="Times New Roman" w:cs="Times New Roman"/>
          <w:i w:val="0"/>
          <w:sz w:val="24"/>
          <w:szCs w:val="24"/>
        </w:rPr>
        <w:t>4</w:t>
      </w:r>
      <w:r w:rsidRPr="006C2AA7">
        <w:rPr>
          <w:rStyle w:val="Bodytext2Italic"/>
          <w:rFonts w:ascii="Times New Roman" w:hAnsi="Times New Roman" w:cs="Times New Roman"/>
          <w:i w:val="0"/>
          <w:sz w:val="24"/>
          <w:szCs w:val="24"/>
        </w:rPr>
        <w:t>(</w:t>
      </w:r>
      <w:r w:rsidRPr="006C2AA7">
        <w:rPr>
          <w:rFonts w:ascii="Times New Roman" w:hAnsi="Times New Roman" w:cs="Times New Roman"/>
          <w:sz w:val="24"/>
          <w:szCs w:val="24"/>
        </w:rPr>
        <w:t xml:space="preserve">4), </w:t>
      </w:r>
      <w:r w:rsidRPr="006C2AA7">
        <w:rPr>
          <w:rStyle w:val="Bodytext2Spacing-1pt0"/>
          <w:rFonts w:ascii="Times New Roman" w:hAnsi="Times New Roman" w:cs="Times New Roman"/>
          <w:spacing w:val="0"/>
          <w:sz w:val="24"/>
          <w:szCs w:val="24"/>
        </w:rPr>
        <w:t>891</w:t>
      </w:r>
      <w:r w:rsidRPr="00624B31">
        <w:rPr>
          <w:rStyle w:val="Bodytext2Spacing-1pt0"/>
          <w:rFonts w:ascii="Times New Roman" w:hAnsi="Times New Roman" w:cs="Times New Roman"/>
          <w:spacing w:val="0"/>
          <w:sz w:val="24"/>
          <w:szCs w:val="24"/>
        </w:rPr>
        <w:t>-905.</w:t>
      </w:r>
      <w:proofErr w:type="gramEnd"/>
    </w:p>
    <w:p w:rsidR="00C3656E" w:rsidRPr="00624B31" w:rsidRDefault="00B90DEA" w:rsidP="006400FB">
      <w:pPr>
        <w:pStyle w:val="Bodytext20"/>
        <w:shd w:val="clear" w:color="auto" w:fill="auto"/>
        <w:spacing w:before="0" w:line="480" w:lineRule="auto"/>
        <w:ind w:left="280"/>
        <w:rPr>
          <w:rStyle w:val="Bodytext2Spacing-1pt0"/>
        </w:rPr>
      </w:pPr>
      <w:r w:rsidRPr="006C2AA7">
        <w:rPr>
          <w:rFonts w:ascii="Times New Roman" w:hAnsi="Times New Roman" w:cs="Times New Roman"/>
          <w:sz w:val="24"/>
          <w:szCs w:val="24"/>
        </w:rPr>
        <w:t xml:space="preserve">Wood, D. P. </w:t>
      </w:r>
      <w:r w:rsidRPr="006C2AA7">
        <w:rPr>
          <w:rStyle w:val="Bodytext2Spacing-1pt0"/>
          <w:rFonts w:ascii="Times New Roman" w:hAnsi="Times New Roman" w:cs="Times New Roman"/>
          <w:spacing w:val="0"/>
          <w:sz w:val="24"/>
          <w:szCs w:val="24"/>
        </w:rPr>
        <w:t>(2012).</w:t>
      </w:r>
      <w:r w:rsidRPr="006C2AA7">
        <w:rPr>
          <w:rFonts w:ascii="Times New Roman" w:hAnsi="Times New Roman" w:cs="Times New Roman"/>
          <w:sz w:val="24"/>
          <w:szCs w:val="24"/>
        </w:rPr>
        <w:t xml:space="preserve"> When to Hold, When to Fold, and When to Reshuffle: The Art of Decisionmaking on a Multi-Member Court. </w:t>
      </w:r>
      <w:proofErr w:type="gramStart"/>
      <w:r w:rsidRPr="006C2AA7">
        <w:rPr>
          <w:rStyle w:val="Bodytext2Italic"/>
          <w:rFonts w:ascii="Times New Roman" w:hAnsi="Times New Roman" w:cs="Times New Roman"/>
          <w:sz w:val="24"/>
          <w:szCs w:val="24"/>
        </w:rPr>
        <w:t xml:space="preserve">California Law Review </w:t>
      </w:r>
      <w:r w:rsidRPr="00B33677">
        <w:rPr>
          <w:rStyle w:val="Bodytext2Italic"/>
          <w:rFonts w:ascii="Times New Roman" w:hAnsi="Times New Roman" w:cs="Times New Roman"/>
          <w:i w:val="0"/>
          <w:sz w:val="24"/>
          <w:szCs w:val="24"/>
        </w:rPr>
        <w:t>100</w:t>
      </w:r>
      <w:r w:rsidRPr="006C2AA7">
        <w:rPr>
          <w:rStyle w:val="Bodytext2Italic"/>
          <w:rFonts w:ascii="Times New Roman" w:hAnsi="Times New Roman" w:cs="Times New Roman"/>
          <w:i w:val="0"/>
          <w:sz w:val="24"/>
          <w:szCs w:val="24"/>
        </w:rPr>
        <w:t>(6),</w:t>
      </w:r>
      <w:r w:rsidRPr="006C2AA7">
        <w:rPr>
          <w:rFonts w:ascii="Times New Roman" w:hAnsi="Times New Roman" w:cs="Times New Roman"/>
          <w:sz w:val="24"/>
          <w:szCs w:val="24"/>
        </w:rPr>
        <w:t xml:space="preserve"> </w:t>
      </w:r>
      <w:r w:rsidRPr="006C2AA7">
        <w:rPr>
          <w:rStyle w:val="Bodytext2Spacing-1pt0"/>
          <w:rFonts w:ascii="Times New Roman" w:hAnsi="Times New Roman" w:cs="Times New Roman"/>
          <w:spacing w:val="0"/>
          <w:sz w:val="24"/>
          <w:szCs w:val="24"/>
        </w:rPr>
        <w:t>1445</w:t>
      </w:r>
      <w:r w:rsidRPr="00624B31">
        <w:rPr>
          <w:rStyle w:val="Bodytext2Spacing-1pt0"/>
          <w:rFonts w:ascii="Times New Roman" w:hAnsi="Times New Roman" w:cs="Times New Roman"/>
          <w:spacing w:val="0"/>
          <w:sz w:val="24"/>
          <w:szCs w:val="24"/>
        </w:rPr>
        <w:t>-1477.</w:t>
      </w:r>
      <w:proofErr w:type="gramEnd"/>
    </w:p>
    <w:p w:rsidR="00C3656E" w:rsidRPr="00624B31" w:rsidRDefault="00C3656E" w:rsidP="006400FB">
      <w:pPr>
        <w:rPr>
          <w:rStyle w:val="Bodytext2Spacing-1pt0"/>
        </w:rPr>
      </w:pPr>
      <w:r w:rsidRPr="00624B31">
        <w:rPr>
          <w:rStyle w:val="Bodytext2Spacing-1pt0"/>
          <w:rFonts w:ascii="Times New Roman" w:hAnsi="Times New Roman" w:cs="Times New Roman"/>
          <w:spacing w:val="0"/>
          <w:sz w:val="24"/>
          <w:szCs w:val="24"/>
        </w:rPr>
        <w:br w:type="page"/>
      </w:r>
    </w:p>
    <w:p w:rsidR="00C3656E" w:rsidRPr="00624B31" w:rsidRDefault="00C3656E" w:rsidP="006400FB">
      <w:pPr>
        <w:pStyle w:val="Bodytext20"/>
        <w:shd w:val="clear" w:color="auto" w:fill="auto"/>
        <w:spacing w:before="0" w:line="480" w:lineRule="auto"/>
        <w:ind w:left="280"/>
        <w:rPr>
          <w:rFonts w:ascii="Times New Roman" w:hAnsi="Times New Roman" w:cs="Times New Roman"/>
          <w:b/>
          <w:sz w:val="24"/>
          <w:szCs w:val="24"/>
        </w:rPr>
      </w:pPr>
      <w:r w:rsidRPr="00624B31">
        <w:rPr>
          <w:rFonts w:ascii="Times New Roman" w:hAnsi="Times New Roman" w:cs="Times New Roman"/>
          <w:b/>
          <w:sz w:val="24"/>
          <w:szCs w:val="24"/>
        </w:rPr>
        <w:t>Tables</w:t>
      </w:r>
    </w:p>
    <w:p w:rsidR="00B25B78" w:rsidRPr="00624B31" w:rsidRDefault="00B25B78" w:rsidP="006400FB">
      <w:pPr>
        <w:pStyle w:val="Bodytext20"/>
        <w:shd w:val="clear" w:color="auto" w:fill="auto"/>
        <w:spacing w:before="0" w:line="480" w:lineRule="auto"/>
        <w:ind w:left="280"/>
        <w:rPr>
          <w:rFonts w:ascii="Times New Roman" w:hAnsi="Times New Roman" w:cs="Times New Roman"/>
          <w:b/>
          <w:sz w:val="24"/>
          <w:szCs w:val="24"/>
        </w:rPr>
      </w:pPr>
    </w:p>
    <w:tbl>
      <w:tblPr>
        <w:tblW w:w="9615" w:type="dxa"/>
        <w:tblCellMar>
          <w:left w:w="0" w:type="dxa"/>
          <w:right w:w="0" w:type="dxa"/>
        </w:tblCellMar>
        <w:tblLook w:val="04A0"/>
      </w:tblPr>
      <w:tblGrid>
        <w:gridCol w:w="4030"/>
        <w:gridCol w:w="1048"/>
        <w:gridCol w:w="878"/>
        <w:gridCol w:w="995"/>
        <w:gridCol w:w="962"/>
        <w:gridCol w:w="810"/>
        <w:gridCol w:w="892"/>
      </w:tblGrid>
      <w:tr w:rsidR="00B25B78" w:rsidRPr="00624B31">
        <w:trPr>
          <w:trHeight w:val="286"/>
        </w:trPr>
        <w:tc>
          <w:tcPr>
            <w:tcW w:w="4030" w:type="dxa"/>
            <w:tcBorders>
              <w:top w:val="single" w:sz="8" w:space="0" w:color="auto"/>
            </w:tcBorders>
            <w:shd w:val="clear" w:color="auto" w:fill="FFFFFF"/>
            <w:tcMar>
              <w:top w:w="0" w:type="dxa"/>
              <w:left w:w="75" w:type="dxa"/>
              <w:bottom w:w="0" w:type="dxa"/>
              <w:right w:w="75" w:type="dxa"/>
            </w:tcMar>
          </w:tcPr>
          <w:p w:rsidR="00B25B78" w:rsidRPr="00624B31" w:rsidRDefault="00B25B78" w:rsidP="006400FB">
            <w:pPr>
              <w:widowControl/>
              <w:rPr>
                <w:rFonts w:ascii="Times New Roman" w:hAnsi="Times New Roman" w:cs="Times New Roman"/>
                <w:color w:val="auto"/>
                <w:lang w:bidi="ar-SA"/>
              </w:rPr>
            </w:pPr>
          </w:p>
        </w:tc>
        <w:tc>
          <w:tcPr>
            <w:tcW w:w="2921" w:type="dxa"/>
            <w:gridSpan w:val="3"/>
            <w:tcBorders>
              <w:top w:val="single" w:sz="8" w:space="0" w:color="auto"/>
            </w:tcBorders>
            <w:shd w:val="clear" w:color="auto" w:fill="FFFFFF"/>
            <w:tcMar>
              <w:top w:w="0" w:type="dxa"/>
              <w:left w:w="75" w:type="dxa"/>
              <w:bottom w:w="0" w:type="dxa"/>
              <w:right w:w="75" w:type="dxa"/>
            </w:tcMar>
          </w:tcPr>
          <w:p w:rsidR="00B25B78" w:rsidRPr="00624B31" w:rsidRDefault="00B25B78" w:rsidP="006400FB">
            <w:pPr>
              <w:widowControl/>
              <w:spacing w:line="165" w:lineRule="atLeast"/>
              <w:jc w:val="center"/>
              <w:rPr>
                <w:rFonts w:ascii="Times New Roman" w:hAnsi="Times New Roman" w:cs="Times New Roman"/>
                <w:b/>
                <w:color w:val="auto"/>
                <w:lang w:bidi="ar-SA"/>
              </w:rPr>
            </w:pPr>
            <w:r w:rsidRPr="00624B31">
              <w:rPr>
                <w:rFonts w:ascii="Times New Roman" w:hAnsi="Times New Roman" w:cs="Times New Roman"/>
                <w:b/>
                <w:color w:val="auto"/>
                <w:lang w:bidi="ar-SA"/>
              </w:rPr>
              <w:t>Negative Treatment</w:t>
            </w:r>
          </w:p>
        </w:tc>
        <w:tc>
          <w:tcPr>
            <w:tcW w:w="2664" w:type="dxa"/>
            <w:gridSpan w:val="3"/>
            <w:tcBorders>
              <w:top w:val="single" w:sz="8" w:space="0" w:color="auto"/>
            </w:tcBorders>
            <w:shd w:val="clear" w:color="auto" w:fill="FFFFFF"/>
            <w:tcMar>
              <w:top w:w="0" w:type="dxa"/>
              <w:left w:w="75" w:type="dxa"/>
              <w:bottom w:w="0" w:type="dxa"/>
              <w:right w:w="75" w:type="dxa"/>
            </w:tcMar>
          </w:tcPr>
          <w:p w:rsidR="00B25B78" w:rsidRPr="00624B31" w:rsidRDefault="00B25B78" w:rsidP="006400FB">
            <w:pPr>
              <w:widowControl/>
              <w:spacing w:line="165" w:lineRule="atLeast"/>
              <w:jc w:val="center"/>
              <w:rPr>
                <w:rFonts w:ascii="Times New Roman" w:hAnsi="Times New Roman" w:cs="Times New Roman"/>
                <w:b/>
                <w:color w:val="auto"/>
                <w:lang w:bidi="ar-SA"/>
              </w:rPr>
            </w:pPr>
            <w:r w:rsidRPr="00624B31">
              <w:rPr>
                <w:rFonts w:ascii="Times New Roman" w:hAnsi="Times New Roman" w:cs="Times New Roman"/>
                <w:b/>
                <w:color w:val="auto"/>
                <w:lang w:bidi="ar-SA"/>
              </w:rPr>
              <w:t>Citation</w:t>
            </w:r>
          </w:p>
        </w:tc>
      </w:tr>
      <w:tr w:rsidR="00B25B78" w:rsidRPr="00624B31">
        <w:tc>
          <w:tcPr>
            <w:tcW w:w="4030"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rPr>
                <w:rFonts w:ascii="Times New Roman" w:hAnsi="Times New Roman" w:cs="Times New Roman"/>
                <w:color w:val="auto"/>
                <w:lang w:bidi="ar-SA"/>
              </w:rPr>
            </w:pPr>
          </w:p>
        </w:tc>
        <w:tc>
          <w:tcPr>
            <w:tcW w:w="1048"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proofErr w:type="spellStart"/>
            <w:r w:rsidRPr="00105698">
              <w:rPr>
                <w:rFonts w:ascii="Times New Roman" w:hAnsi="Times New Roman" w:cs="Times New Roman"/>
                <w:color w:val="auto"/>
                <w:lang w:bidi="ar-SA"/>
              </w:rPr>
              <w:t>Coef</w:t>
            </w:r>
            <w:proofErr w:type="spellEnd"/>
            <w:r w:rsidRPr="00105698">
              <w:rPr>
                <w:rFonts w:ascii="Times New Roman" w:hAnsi="Times New Roman" w:cs="Times New Roman"/>
                <w:color w:val="auto"/>
                <w:lang w:bidi="ar-SA"/>
              </w:rPr>
              <w:t>.</w:t>
            </w:r>
          </w:p>
        </w:tc>
        <w:tc>
          <w:tcPr>
            <w:tcW w:w="878"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S.E.</w:t>
            </w:r>
          </w:p>
        </w:tc>
        <w:tc>
          <w:tcPr>
            <w:tcW w:w="995"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p-value</w:t>
            </w:r>
          </w:p>
        </w:tc>
        <w:tc>
          <w:tcPr>
            <w:tcW w:w="962"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proofErr w:type="spellStart"/>
            <w:r w:rsidRPr="00105698">
              <w:rPr>
                <w:rFonts w:ascii="Times New Roman" w:hAnsi="Times New Roman" w:cs="Times New Roman"/>
                <w:color w:val="auto"/>
                <w:lang w:bidi="ar-SA"/>
              </w:rPr>
              <w:t>Coef</w:t>
            </w:r>
            <w:proofErr w:type="spellEnd"/>
            <w:r w:rsidRPr="00105698">
              <w:rPr>
                <w:rFonts w:ascii="Times New Roman" w:hAnsi="Times New Roman" w:cs="Times New Roman"/>
                <w:color w:val="auto"/>
                <w:lang w:bidi="ar-SA"/>
              </w:rPr>
              <w:t>.</w:t>
            </w:r>
          </w:p>
        </w:tc>
        <w:tc>
          <w:tcPr>
            <w:tcW w:w="810"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S.E.</w:t>
            </w:r>
          </w:p>
        </w:tc>
        <w:tc>
          <w:tcPr>
            <w:tcW w:w="892"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p-value</w:t>
            </w:r>
          </w:p>
        </w:tc>
      </w:tr>
      <w:tr w:rsidR="00B25B78" w:rsidRPr="00624B31">
        <w:tc>
          <w:tcPr>
            <w:tcW w:w="4030" w:type="dxa"/>
            <w:tcBorders>
              <w:top w:val="single" w:sz="8" w:space="0" w:color="auto"/>
            </w:tcBorders>
            <w:shd w:val="clear" w:color="auto" w:fill="FFFFFF"/>
            <w:tcMar>
              <w:top w:w="0" w:type="dxa"/>
              <w:left w:w="75" w:type="dxa"/>
              <w:bottom w:w="0" w:type="dxa"/>
              <w:right w:w="75" w:type="dxa"/>
            </w:tcMar>
          </w:tcPr>
          <w:p w:rsidR="00105698" w:rsidRPr="00105698" w:rsidRDefault="002C1678" w:rsidP="006400FB">
            <w:pPr>
              <w:widowControl/>
              <w:rPr>
                <w:rFonts w:ascii="Times New Roman" w:hAnsi="Times New Roman" w:cs="Times New Roman"/>
                <w:color w:val="auto"/>
                <w:lang w:bidi="ar-SA"/>
              </w:rPr>
            </w:pPr>
            <w:r>
              <w:rPr>
                <w:rFonts w:ascii="Times New Roman" w:hAnsi="Times New Roman" w:cs="Times New Roman"/>
                <w:color w:val="auto"/>
                <w:lang w:bidi="ar-SA"/>
              </w:rPr>
              <w:t>Negative Treatments</w:t>
            </w:r>
            <w:r w:rsidR="00105698" w:rsidRPr="00105698">
              <w:rPr>
                <w:rFonts w:ascii="Times New Roman" w:hAnsi="Times New Roman" w:cs="Times New Roman"/>
                <w:color w:val="auto"/>
                <w:lang w:bidi="ar-SA"/>
              </w:rPr>
              <w:t xml:space="preserve"> Previous Year </w:t>
            </w:r>
          </w:p>
        </w:tc>
        <w:tc>
          <w:tcPr>
            <w:tcW w:w="1048" w:type="dxa"/>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1.023*</w:t>
            </w:r>
          </w:p>
        </w:tc>
        <w:tc>
          <w:tcPr>
            <w:tcW w:w="878" w:type="dxa"/>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0.179</w:t>
            </w:r>
          </w:p>
        </w:tc>
        <w:tc>
          <w:tcPr>
            <w:tcW w:w="995" w:type="dxa"/>
            <w:tcBorders>
              <w:top w:val="single" w:sz="8" w:space="0" w:color="auto"/>
            </w:tcBorders>
            <w:shd w:val="clear" w:color="auto" w:fill="FFFFFF"/>
            <w:tcMar>
              <w:top w:w="0" w:type="dxa"/>
              <w:left w:w="75" w:type="dxa"/>
              <w:bottom w:w="0" w:type="dxa"/>
              <w:right w:w="75" w:type="dxa"/>
            </w:tcMar>
            <w:vAlign w:val="center"/>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c>
          <w:tcPr>
            <w:tcW w:w="962" w:type="dxa"/>
            <w:tcBorders>
              <w:top w:val="single" w:sz="8" w:space="0" w:color="auto"/>
            </w:tcBorders>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p>
        </w:tc>
        <w:tc>
          <w:tcPr>
            <w:tcW w:w="810" w:type="dxa"/>
            <w:tcBorders>
              <w:top w:val="single" w:sz="8" w:space="0" w:color="auto"/>
            </w:tcBorders>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p>
        </w:tc>
        <w:tc>
          <w:tcPr>
            <w:tcW w:w="892" w:type="dxa"/>
            <w:tcBorders>
              <w:top w:val="single" w:sz="8" w:space="0" w:color="auto"/>
            </w:tcBorders>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p>
        </w:tc>
      </w:tr>
      <w:tr w:rsidR="00B25B78" w:rsidRPr="00624B31">
        <w:tc>
          <w:tcPr>
            <w:tcW w:w="4030" w:type="dxa"/>
            <w:shd w:val="clear" w:color="auto" w:fill="FFFFFF"/>
            <w:tcMar>
              <w:top w:w="0" w:type="dxa"/>
              <w:left w:w="75" w:type="dxa"/>
              <w:bottom w:w="0" w:type="dxa"/>
              <w:right w:w="75" w:type="dxa"/>
            </w:tcMar>
          </w:tcPr>
          <w:p w:rsidR="00B25B78" w:rsidRPr="00624B31" w:rsidRDefault="00B25B78" w:rsidP="006400FB">
            <w:pPr>
              <w:widowControl/>
              <w:spacing w:line="165" w:lineRule="atLeast"/>
              <w:rPr>
                <w:rFonts w:ascii="Times New Roman" w:hAnsi="Times New Roman" w:cs="Times New Roman"/>
                <w:color w:val="auto"/>
                <w:lang w:bidi="ar-SA"/>
              </w:rPr>
            </w:pPr>
            <w:r w:rsidRPr="00624B31">
              <w:rPr>
                <w:rFonts w:ascii="Times New Roman" w:hAnsi="Times New Roman" w:cs="Times New Roman"/>
                <w:color w:val="auto"/>
                <w:lang w:bidi="ar-SA"/>
              </w:rPr>
              <w:t>Citations Previous Year</w:t>
            </w:r>
          </w:p>
        </w:tc>
        <w:tc>
          <w:tcPr>
            <w:tcW w:w="1048" w:type="dxa"/>
            <w:shd w:val="clear" w:color="auto" w:fill="FFFFFF"/>
            <w:tcMar>
              <w:top w:w="0" w:type="dxa"/>
              <w:left w:w="75" w:type="dxa"/>
              <w:bottom w:w="0" w:type="dxa"/>
              <w:right w:w="75" w:type="dxa"/>
            </w:tcMar>
          </w:tcPr>
          <w:p w:rsidR="00B25B78" w:rsidRPr="00624B31" w:rsidRDefault="00B25B78" w:rsidP="006400FB">
            <w:pPr>
              <w:widowControl/>
              <w:spacing w:line="165" w:lineRule="atLeast"/>
              <w:jc w:val="center"/>
              <w:rPr>
                <w:rFonts w:ascii="Times New Roman" w:hAnsi="Times New Roman" w:cs="Times New Roman"/>
                <w:color w:val="auto"/>
                <w:lang w:bidi="ar-SA"/>
              </w:rPr>
            </w:pPr>
          </w:p>
        </w:tc>
        <w:tc>
          <w:tcPr>
            <w:tcW w:w="878" w:type="dxa"/>
            <w:shd w:val="clear" w:color="auto" w:fill="FFFFFF"/>
            <w:tcMar>
              <w:top w:w="0" w:type="dxa"/>
              <w:left w:w="75" w:type="dxa"/>
              <w:bottom w:w="0" w:type="dxa"/>
              <w:right w:w="75" w:type="dxa"/>
            </w:tcMar>
            <w:vAlign w:val="bottom"/>
          </w:tcPr>
          <w:p w:rsidR="00B25B78" w:rsidRPr="00624B31" w:rsidRDefault="00B25B78" w:rsidP="006400FB">
            <w:pPr>
              <w:widowControl/>
              <w:spacing w:line="165" w:lineRule="atLeast"/>
              <w:jc w:val="center"/>
              <w:rPr>
                <w:rFonts w:ascii="Times New Roman" w:hAnsi="Times New Roman" w:cs="Times New Roman"/>
                <w:color w:val="auto"/>
                <w:lang w:bidi="ar-SA"/>
              </w:rPr>
            </w:pPr>
          </w:p>
        </w:tc>
        <w:tc>
          <w:tcPr>
            <w:tcW w:w="995" w:type="dxa"/>
            <w:shd w:val="clear" w:color="auto" w:fill="FFFFFF"/>
            <w:tcMar>
              <w:top w:w="0" w:type="dxa"/>
              <w:left w:w="75" w:type="dxa"/>
              <w:bottom w:w="0" w:type="dxa"/>
              <w:right w:w="75" w:type="dxa"/>
            </w:tcMar>
            <w:vAlign w:val="bottom"/>
          </w:tcPr>
          <w:p w:rsidR="00B25B78" w:rsidRPr="00624B31" w:rsidRDefault="00B25B78" w:rsidP="006400FB">
            <w:pPr>
              <w:widowControl/>
              <w:spacing w:line="75" w:lineRule="atLeast"/>
              <w:jc w:val="center"/>
              <w:rPr>
                <w:rFonts w:ascii="Times New Roman" w:hAnsi="Times New Roman" w:cs="Times New Roman"/>
                <w:color w:val="auto"/>
                <w:lang w:bidi="ar-SA"/>
              </w:rPr>
            </w:pPr>
          </w:p>
        </w:tc>
        <w:tc>
          <w:tcPr>
            <w:tcW w:w="962" w:type="dxa"/>
            <w:shd w:val="clear" w:color="auto" w:fill="FFFFFF"/>
            <w:tcMar>
              <w:top w:w="0" w:type="dxa"/>
              <w:left w:w="75" w:type="dxa"/>
              <w:bottom w:w="0" w:type="dxa"/>
              <w:right w:w="75" w:type="dxa"/>
            </w:tcMar>
          </w:tcPr>
          <w:p w:rsidR="00B25B78" w:rsidRPr="00624B31" w:rsidRDefault="00B25B7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0.434*</w:t>
            </w:r>
          </w:p>
        </w:tc>
        <w:tc>
          <w:tcPr>
            <w:tcW w:w="810" w:type="dxa"/>
            <w:shd w:val="clear" w:color="auto" w:fill="FFFFFF"/>
            <w:tcMar>
              <w:top w:w="0" w:type="dxa"/>
              <w:left w:w="75" w:type="dxa"/>
              <w:bottom w:w="0" w:type="dxa"/>
              <w:right w:w="75" w:type="dxa"/>
            </w:tcMar>
          </w:tcPr>
          <w:p w:rsidR="00B25B78" w:rsidRPr="00624B31" w:rsidRDefault="00B25B7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0.242</w:t>
            </w:r>
          </w:p>
        </w:tc>
        <w:tc>
          <w:tcPr>
            <w:tcW w:w="892" w:type="dxa"/>
            <w:shd w:val="clear" w:color="auto" w:fill="FFFFFF"/>
            <w:tcMar>
              <w:top w:w="0" w:type="dxa"/>
              <w:left w:w="75" w:type="dxa"/>
              <w:bottom w:w="0" w:type="dxa"/>
              <w:right w:w="75" w:type="dxa"/>
            </w:tcMar>
          </w:tcPr>
          <w:p w:rsidR="00B25B78" w:rsidRPr="00624B31" w:rsidRDefault="00B25B7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B25B78" w:rsidRPr="00624B31">
        <w:tc>
          <w:tcPr>
            <w:tcW w:w="4030" w:type="dxa"/>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Dissent</w:t>
            </w:r>
          </w:p>
        </w:tc>
        <w:tc>
          <w:tcPr>
            <w:tcW w:w="104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0.501*</w:t>
            </w:r>
          </w:p>
        </w:tc>
        <w:tc>
          <w:tcPr>
            <w:tcW w:w="878"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0.116</w:t>
            </w:r>
          </w:p>
        </w:tc>
        <w:tc>
          <w:tcPr>
            <w:tcW w:w="995"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c>
          <w:tcPr>
            <w:tcW w:w="962"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0.086*</w:t>
            </w:r>
          </w:p>
        </w:tc>
        <w:tc>
          <w:tcPr>
            <w:tcW w:w="81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0.043</w:t>
            </w:r>
          </w:p>
        </w:tc>
        <w:tc>
          <w:tcPr>
            <w:tcW w:w="892"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0.046</w:t>
            </w:r>
          </w:p>
        </w:tc>
      </w:tr>
      <w:tr w:rsidR="00B25B78" w:rsidRPr="00624B31">
        <w:tc>
          <w:tcPr>
            <w:tcW w:w="403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Per Curiam</w:t>
            </w:r>
          </w:p>
        </w:tc>
        <w:tc>
          <w:tcPr>
            <w:tcW w:w="1048"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-0.632*</w:t>
            </w:r>
          </w:p>
        </w:tc>
        <w:tc>
          <w:tcPr>
            <w:tcW w:w="878"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0.258</w:t>
            </w:r>
          </w:p>
        </w:tc>
        <w:tc>
          <w:tcPr>
            <w:tcW w:w="995"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0.014</w:t>
            </w:r>
          </w:p>
        </w:tc>
        <w:tc>
          <w:tcPr>
            <w:tcW w:w="962"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-0.400*</w:t>
            </w:r>
          </w:p>
        </w:tc>
        <w:tc>
          <w:tcPr>
            <w:tcW w:w="81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0.117</w:t>
            </w:r>
          </w:p>
        </w:tc>
        <w:tc>
          <w:tcPr>
            <w:tcW w:w="892"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0.001</w:t>
            </w:r>
          </w:p>
        </w:tc>
      </w:tr>
      <w:tr w:rsidR="00B25B78" w:rsidRPr="00624B31">
        <w:tc>
          <w:tcPr>
            <w:tcW w:w="4030" w:type="dxa"/>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En Banc</w:t>
            </w:r>
          </w:p>
        </w:tc>
        <w:tc>
          <w:tcPr>
            <w:tcW w:w="104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-0.051</w:t>
            </w:r>
          </w:p>
        </w:tc>
        <w:tc>
          <w:tcPr>
            <w:tcW w:w="878"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0.100</w:t>
            </w:r>
          </w:p>
        </w:tc>
        <w:tc>
          <w:tcPr>
            <w:tcW w:w="995"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0.614</w:t>
            </w:r>
          </w:p>
        </w:tc>
        <w:tc>
          <w:tcPr>
            <w:tcW w:w="962"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0.251*</w:t>
            </w:r>
          </w:p>
        </w:tc>
        <w:tc>
          <w:tcPr>
            <w:tcW w:w="81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0.091</w:t>
            </w:r>
          </w:p>
        </w:tc>
        <w:tc>
          <w:tcPr>
            <w:tcW w:w="892"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0.006</w:t>
            </w:r>
          </w:p>
        </w:tc>
      </w:tr>
      <w:tr w:rsidR="00B25B78" w:rsidRPr="00624B31">
        <w:tc>
          <w:tcPr>
            <w:tcW w:w="4030" w:type="dxa"/>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Opinion Length</w:t>
            </w:r>
          </w:p>
        </w:tc>
        <w:tc>
          <w:tcPr>
            <w:tcW w:w="104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0.325*</w:t>
            </w:r>
          </w:p>
        </w:tc>
        <w:tc>
          <w:tcPr>
            <w:tcW w:w="87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0.087</w:t>
            </w:r>
          </w:p>
        </w:tc>
        <w:tc>
          <w:tcPr>
            <w:tcW w:w="995"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c>
          <w:tcPr>
            <w:tcW w:w="962"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0.357*</w:t>
            </w:r>
          </w:p>
        </w:tc>
        <w:tc>
          <w:tcPr>
            <w:tcW w:w="81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0.031</w:t>
            </w:r>
          </w:p>
        </w:tc>
        <w:tc>
          <w:tcPr>
            <w:tcW w:w="892"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r>
      <w:tr w:rsidR="00B25B78" w:rsidRPr="00624B31">
        <w:tc>
          <w:tcPr>
            <w:tcW w:w="403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Precedent Age</w:t>
            </w:r>
          </w:p>
        </w:tc>
        <w:tc>
          <w:tcPr>
            <w:tcW w:w="1048" w:type="dxa"/>
            <w:shd w:val="clear" w:color="auto" w:fill="FFFFFF"/>
            <w:tcMar>
              <w:top w:w="0" w:type="dxa"/>
              <w:left w:w="75" w:type="dxa"/>
              <w:bottom w:w="0" w:type="dxa"/>
              <w:right w:w="75" w:type="dxa"/>
            </w:tcMar>
            <w:vAlign w:val="bottom"/>
          </w:tcPr>
          <w:p w:rsidR="00105698" w:rsidRPr="00105698" w:rsidRDefault="00B25B78" w:rsidP="006400FB">
            <w:pPr>
              <w:widowControl/>
              <w:spacing w:line="7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-0.108</w:t>
            </w:r>
            <w:r w:rsidR="00105698" w:rsidRPr="00105698">
              <w:rPr>
                <w:rFonts w:ascii="Times New Roman" w:hAnsi="Times New Roman" w:cs="Times New Roman"/>
                <w:color w:val="auto"/>
                <w:lang w:bidi="ar-SA"/>
              </w:rPr>
              <w:t>*</w:t>
            </w:r>
          </w:p>
        </w:tc>
        <w:tc>
          <w:tcPr>
            <w:tcW w:w="87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0.023</w:t>
            </w:r>
          </w:p>
        </w:tc>
        <w:tc>
          <w:tcPr>
            <w:tcW w:w="995"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c>
          <w:tcPr>
            <w:tcW w:w="962" w:type="dxa"/>
            <w:shd w:val="clear" w:color="auto" w:fill="FFFFFF"/>
            <w:tcMar>
              <w:top w:w="0" w:type="dxa"/>
              <w:left w:w="75" w:type="dxa"/>
              <w:bottom w:w="0" w:type="dxa"/>
              <w:right w:w="75" w:type="dxa"/>
            </w:tcMar>
            <w:vAlign w:val="bottom"/>
          </w:tcPr>
          <w:p w:rsidR="00105698" w:rsidRPr="00105698" w:rsidRDefault="00B25B78" w:rsidP="006400FB">
            <w:pPr>
              <w:widowControl/>
              <w:spacing w:line="7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-0.133</w:t>
            </w:r>
            <w:r w:rsidR="00105698" w:rsidRPr="00105698">
              <w:rPr>
                <w:rFonts w:ascii="Times New Roman" w:hAnsi="Times New Roman" w:cs="Times New Roman"/>
                <w:color w:val="auto"/>
                <w:lang w:bidi="ar-SA"/>
              </w:rPr>
              <w:t>*</w:t>
            </w:r>
          </w:p>
        </w:tc>
        <w:tc>
          <w:tcPr>
            <w:tcW w:w="81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0.015</w:t>
            </w:r>
          </w:p>
        </w:tc>
        <w:tc>
          <w:tcPr>
            <w:tcW w:w="892"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r>
      <w:tr w:rsidR="00B25B78" w:rsidRPr="00624B31">
        <w:tc>
          <w:tcPr>
            <w:tcW w:w="4030" w:type="dxa"/>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Precedent Age</w:t>
            </w:r>
            <w:r w:rsidRPr="00105698">
              <w:rPr>
                <w:rFonts w:ascii="Times New Roman" w:hAnsi="Times New Roman" w:cs="Times New Roman"/>
                <w:color w:val="auto"/>
                <w:vertAlign w:val="superscript"/>
                <w:lang w:bidi="ar-SA"/>
              </w:rPr>
              <w:t>2</w:t>
            </w:r>
          </w:p>
        </w:tc>
        <w:tc>
          <w:tcPr>
            <w:tcW w:w="104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0.003</w:t>
            </w:r>
          </w:p>
        </w:tc>
        <w:tc>
          <w:tcPr>
            <w:tcW w:w="878"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0.001</w:t>
            </w:r>
          </w:p>
        </w:tc>
        <w:tc>
          <w:tcPr>
            <w:tcW w:w="995"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0.079</w:t>
            </w:r>
          </w:p>
        </w:tc>
        <w:tc>
          <w:tcPr>
            <w:tcW w:w="962"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0.003*</w:t>
            </w:r>
          </w:p>
        </w:tc>
        <w:tc>
          <w:tcPr>
            <w:tcW w:w="810"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0.001</w:t>
            </w:r>
          </w:p>
        </w:tc>
        <w:tc>
          <w:tcPr>
            <w:tcW w:w="892"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r>
      <w:tr w:rsidR="00B25B78" w:rsidRPr="00624B31">
        <w:tc>
          <w:tcPr>
            <w:tcW w:w="4030" w:type="dxa"/>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 of Circuit Cases</w:t>
            </w:r>
          </w:p>
        </w:tc>
        <w:tc>
          <w:tcPr>
            <w:tcW w:w="1048"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0.008</w:t>
            </w:r>
          </w:p>
        </w:tc>
        <w:tc>
          <w:tcPr>
            <w:tcW w:w="878"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0.007</w:t>
            </w:r>
          </w:p>
        </w:tc>
        <w:tc>
          <w:tcPr>
            <w:tcW w:w="995"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0.227</w:t>
            </w:r>
          </w:p>
        </w:tc>
        <w:tc>
          <w:tcPr>
            <w:tcW w:w="962"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0.014*</w:t>
            </w:r>
          </w:p>
        </w:tc>
        <w:tc>
          <w:tcPr>
            <w:tcW w:w="81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0.003</w:t>
            </w:r>
          </w:p>
        </w:tc>
        <w:tc>
          <w:tcPr>
            <w:tcW w:w="892" w:type="dxa"/>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r>
      <w:tr w:rsidR="00B25B78" w:rsidRPr="00624B31">
        <w:tc>
          <w:tcPr>
            <w:tcW w:w="4030"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Intercept</w:t>
            </w:r>
          </w:p>
        </w:tc>
        <w:tc>
          <w:tcPr>
            <w:tcW w:w="1048"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-6.639*</w:t>
            </w:r>
          </w:p>
        </w:tc>
        <w:tc>
          <w:tcPr>
            <w:tcW w:w="878"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0.553</w:t>
            </w:r>
          </w:p>
        </w:tc>
        <w:tc>
          <w:tcPr>
            <w:tcW w:w="995" w:type="dxa"/>
            <w:tcBorders>
              <w:bottom w:val="single" w:sz="8" w:space="0" w:color="auto"/>
            </w:tcBorders>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c>
          <w:tcPr>
            <w:tcW w:w="962"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-4.169*</w:t>
            </w:r>
          </w:p>
        </w:tc>
        <w:tc>
          <w:tcPr>
            <w:tcW w:w="810"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0.242</w:t>
            </w:r>
          </w:p>
        </w:tc>
        <w:tc>
          <w:tcPr>
            <w:tcW w:w="892" w:type="dxa"/>
            <w:tcBorders>
              <w:bottom w:val="single" w:sz="8" w:space="0" w:color="auto"/>
            </w:tcBorders>
            <w:shd w:val="clear" w:color="auto" w:fill="FFFFFF"/>
            <w:tcMar>
              <w:top w:w="0" w:type="dxa"/>
              <w:left w:w="75" w:type="dxa"/>
              <w:bottom w:w="0" w:type="dxa"/>
              <w:right w:w="75" w:type="dxa"/>
            </w:tcMar>
            <w:vAlign w:val="bottom"/>
          </w:tcPr>
          <w:p w:rsidR="00105698" w:rsidRPr="00105698" w:rsidRDefault="00105698" w:rsidP="006400FB">
            <w:pPr>
              <w:widowControl/>
              <w:spacing w:line="7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0.000</w:t>
            </w:r>
          </w:p>
        </w:tc>
      </w:tr>
      <w:tr w:rsidR="00B25B78" w:rsidRPr="00624B31">
        <w:tc>
          <w:tcPr>
            <w:tcW w:w="4030"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N</w:t>
            </w:r>
          </w:p>
        </w:tc>
        <w:tc>
          <w:tcPr>
            <w:tcW w:w="1048"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rPr>
                <w:rFonts w:ascii="Times New Roman" w:hAnsi="Times New Roman" w:cs="Times New Roman"/>
                <w:color w:val="auto"/>
                <w:lang w:bidi="ar-SA"/>
              </w:rPr>
            </w:pPr>
          </w:p>
        </w:tc>
        <w:tc>
          <w:tcPr>
            <w:tcW w:w="878"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68,764</w:t>
            </w:r>
          </w:p>
        </w:tc>
        <w:tc>
          <w:tcPr>
            <w:tcW w:w="995"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rPr>
                <w:rFonts w:ascii="Times New Roman" w:hAnsi="Times New Roman" w:cs="Times New Roman"/>
                <w:color w:val="auto"/>
                <w:lang w:bidi="ar-SA"/>
              </w:rPr>
            </w:pPr>
          </w:p>
        </w:tc>
        <w:tc>
          <w:tcPr>
            <w:tcW w:w="962"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rPr>
                <w:rFonts w:ascii="Times New Roman" w:hAnsi="Times New Roman" w:cs="Times New Roman"/>
                <w:color w:val="auto"/>
                <w:lang w:bidi="ar-SA"/>
              </w:rPr>
            </w:pPr>
          </w:p>
        </w:tc>
        <w:tc>
          <w:tcPr>
            <w:tcW w:w="810"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68,764</w:t>
            </w:r>
          </w:p>
        </w:tc>
        <w:tc>
          <w:tcPr>
            <w:tcW w:w="892" w:type="dxa"/>
            <w:tcBorders>
              <w:top w:val="single" w:sz="8" w:space="0" w:color="auto"/>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rPr>
                <w:rFonts w:ascii="Times New Roman" w:hAnsi="Times New Roman" w:cs="Times New Roman"/>
                <w:color w:val="auto"/>
                <w:lang w:bidi="ar-SA"/>
              </w:rPr>
            </w:pPr>
          </w:p>
        </w:tc>
      </w:tr>
    </w:tbl>
    <w:p w:rsidR="00105698" w:rsidRPr="00624B31" w:rsidRDefault="00105698" w:rsidP="006400FB">
      <w:pPr>
        <w:rPr>
          <w:rFonts w:ascii="Times New Roman" w:hAnsi="Times New Roman" w:cs="Times New Roman"/>
        </w:rPr>
      </w:pPr>
    </w:p>
    <w:p w:rsidR="00845B01" w:rsidRPr="00624B31" w:rsidRDefault="00845B01" w:rsidP="006400FB">
      <w:pPr>
        <w:jc w:val="both"/>
        <w:rPr>
          <w:rFonts w:ascii="Times New Roman" w:hAnsi="Times New Roman" w:cs="Times New Roman"/>
        </w:rPr>
      </w:pPr>
      <w:r w:rsidRPr="00624B31">
        <w:rPr>
          <w:rFonts w:ascii="Times New Roman" w:hAnsi="Times New Roman" w:cs="Times New Roman"/>
        </w:rPr>
        <w:t>Table 1: Negative binomial regression estimates of the e</w:t>
      </w:r>
      <w:r w:rsidR="00B25B78" w:rsidRPr="00624B31">
        <w:rPr>
          <w:rFonts w:ascii="Times New Roman" w:hAnsi="Times New Roman" w:cs="Times New Roman"/>
        </w:rPr>
        <w:t>ff</w:t>
      </w:r>
      <w:r w:rsidRPr="00624B31">
        <w:rPr>
          <w:rFonts w:ascii="Times New Roman" w:hAnsi="Times New Roman" w:cs="Times New Roman"/>
        </w:rPr>
        <w:t>ect of negative treatments/citations</w:t>
      </w:r>
      <w:r w:rsidR="00B25B78" w:rsidRPr="00624B31">
        <w:rPr>
          <w:rFonts w:ascii="Times New Roman" w:hAnsi="Times New Roman" w:cs="Times New Roman"/>
        </w:rPr>
        <w:t xml:space="preserve"> </w:t>
      </w:r>
      <w:r w:rsidRPr="00624B31">
        <w:rPr>
          <w:rFonts w:ascii="Times New Roman" w:hAnsi="Times New Roman" w:cs="Times New Roman"/>
        </w:rPr>
        <w:t xml:space="preserve">from the previous year (and a range of control variables) </w:t>
      </w:r>
      <w:r w:rsidR="00B25B78" w:rsidRPr="00624B31">
        <w:rPr>
          <w:rFonts w:ascii="Times New Roman" w:hAnsi="Times New Roman" w:cs="Times New Roman"/>
        </w:rPr>
        <w:t>on the number of negative treat</w:t>
      </w:r>
      <w:r w:rsidRPr="00624B31">
        <w:rPr>
          <w:rFonts w:ascii="Times New Roman" w:hAnsi="Times New Roman" w:cs="Times New Roman"/>
        </w:rPr>
        <w:t>ments/citations of a precedent in each year. The reported standard errors are robust standard</w:t>
      </w:r>
      <w:r w:rsidR="002C1678">
        <w:rPr>
          <w:rFonts w:ascii="Times New Roman" w:hAnsi="Times New Roman" w:cs="Times New Roman"/>
        </w:rPr>
        <w:t xml:space="preserve"> </w:t>
      </w:r>
      <w:r w:rsidRPr="00624B31">
        <w:rPr>
          <w:rFonts w:ascii="Times New Roman" w:hAnsi="Times New Roman" w:cs="Times New Roman"/>
        </w:rPr>
        <w:t>errors that are clustered on the circuit and * denotes a p-value less than 0.05.</w:t>
      </w:r>
    </w:p>
    <w:p w:rsidR="00B25B78" w:rsidRPr="00624B31" w:rsidRDefault="00B25B78" w:rsidP="006400FB">
      <w:pPr>
        <w:rPr>
          <w:rFonts w:ascii="Times New Roman" w:hAnsi="Times New Roman" w:cs="Times New Roman"/>
        </w:rPr>
      </w:pPr>
    </w:p>
    <w:p w:rsidR="009D3DE9" w:rsidRPr="00624B31" w:rsidRDefault="009D3DE9" w:rsidP="006400FB">
      <w:pPr>
        <w:rPr>
          <w:rFonts w:ascii="Times New Roman" w:hAnsi="Times New Roman" w:cs="Times New Roman"/>
        </w:rPr>
      </w:pPr>
      <w:r w:rsidRPr="00624B31">
        <w:rPr>
          <w:rFonts w:ascii="Times New Roman" w:hAnsi="Times New Roman" w:cs="Times New Roman"/>
        </w:rPr>
        <w:br w:type="page"/>
      </w:r>
    </w:p>
    <w:p w:rsidR="00B25B78" w:rsidRPr="00624B31" w:rsidRDefault="00B25B78" w:rsidP="006400FB">
      <w:pPr>
        <w:rPr>
          <w:rFonts w:ascii="Times New Roman" w:hAnsi="Times New Roman" w:cs="Times New Roman"/>
        </w:rPr>
      </w:pPr>
    </w:p>
    <w:p w:rsidR="000241C8" w:rsidRPr="00624B31" w:rsidRDefault="000241C8" w:rsidP="006400FB">
      <w:pPr>
        <w:rPr>
          <w:rFonts w:ascii="Times New Roman" w:hAnsi="Times New Roman" w:cs="Times New Roman"/>
        </w:rPr>
      </w:pPr>
    </w:p>
    <w:tbl>
      <w:tblPr>
        <w:tblW w:w="0" w:type="auto"/>
        <w:jc w:val="center"/>
        <w:tblCellMar>
          <w:left w:w="0" w:type="dxa"/>
          <w:right w:w="0" w:type="dxa"/>
        </w:tblCellMar>
        <w:tblLook w:val="04A0"/>
      </w:tblPr>
      <w:tblGrid>
        <w:gridCol w:w="3424"/>
        <w:gridCol w:w="1010"/>
        <w:gridCol w:w="690"/>
        <w:gridCol w:w="963"/>
        <w:gridCol w:w="930"/>
        <w:gridCol w:w="874"/>
        <w:gridCol w:w="870"/>
      </w:tblGrid>
      <w:tr w:rsidR="009D3DE9" w:rsidRPr="00624B31">
        <w:trPr>
          <w:jc w:val="center"/>
        </w:trPr>
        <w:tc>
          <w:tcPr>
            <w:tcW w:w="0" w:type="auto"/>
            <w:tcBorders>
              <w:top w:val="single" w:sz="8" w:space="0" w:color="auto"/>
            </w:tcBorders>
            <w:shd w:val="clear" w:color="auto" w:fill="FFFFFF"/>
            <w:tcMar>
              <w:top w:w="0" w:type="dxa"/>
              <w:left w:w="75" w:type="dxa"/>
              <w:bottom w:w="0" w:type="dxa"/>
              <w:right w:w="75" w:type="dxa"/>
            </w:tcMar>
          </w:tcPr>
          <w:p w:rsidR="009D3DE9" w:rsidRPr="00624B31" w:rsidRDefault="009D3DE9" w:rsidP="006400FB">
            <w:pPr>
              <w:widowControl/>
              <w:rPr>
                <w:rFonts w:ascii="Times New Roman" w:hAnsi="Times New Roman" w:cs="Times New Roman"/>
                <w:color w:val="auto"/>
                <w:lang w:bidi="ar-SA"/>
              </w:rPr>
            </w:pPr>
          </w:p>
        </w:tc>
        <w:tc>
          <w:tcPr>
            <w:tcW w:w="2663" w:type="dxa"/>
            <w:gridSpan w:val="3"/>
            <w:tcBorders>
              <w:top w:val="single" w:sz="8" w:space="0" w:color="auto"/>
            </w:tcBorders>
            <w:shd w:val="clear" w:color="auto" w:fill="FFFFFF"/>
            <w:tcMar>
              <w:top w:w="0" w:type="dxa"/>
              <w:left w:w="75" w:type="dxa"/>
              <w:bottom w:w="0" w:type="dxa"/>
              <w:right w:w="75" w:type="dxa"/>
            </w:tcMar>
          </w:tcPr>
          <w:p w:rsidR="009D3DE9" w:rsidRPr="00624B31" w:rsidRDefault="009D3DE9" w:rsidP="006400FB">
            <w:pPr>
              <w:widowControl/>
              <w:spacing w:line="165" w:lineRule="atLeast"/>
              <w:jc w:val="center"/>
              <w:rPr>
                <w:rFonts w:ascii="Times New Roman" w:hAnsi="Times New Roman" w:cs="Times New Roman"/>
                <w:b/>
                <w:color w:val="auto"/>
                <w:lang w:bidi="ar-SA"/>
              </w:rPr>
            </w:pPr>
            <w:r w:rsidRPr="00624B31">
              <w:rPr>
                <w:rFonts w:ascii="Times New Roman" w:hAnsi="Times New Roman" w:cs="Times New Roman"/>
                <w:b/>
                <w:color w:val="auto"/>
                <w:lang w:bidi="ar-SA"/>
              </w:rPr>
              <w:t>Negative Treatment</w:t>
            </w:r>
          </w:p>
        </w:tc>
        <w:tc>
          <w:tcPr>
            <w:tcW w:w="2674" w:type="dxa"/>
            <w:gridSpan w:val="3"/>
            <w:tcBorders>
              <w:top w:val="single" w:sz="8" w:space="0" w:color="auto"/>
            </w:tcBorders>
            <w:shd w:val="clear" w:color="auto" w:fill="FFFFFF"/>
            <w:tcMar>
              <w:top w:w="0" w:type="dxa"/>
              <w:left w:w="75" w:type="dxa"/>
              <w:bottom w:w="0" w:type="dxa"/>
              <w:right w:w="75" w:type="dxa"/>
            </w:tcMar>
          </w:tcPr>
          <w:p w:rsidR="009D3DE9" w:rsidRPr="00624B31" w:rsidRDefault="009D3DE9" w:rsidP="006400FB">
            <w:pPr>
              <w:widowControl/>
              <w:spacing w:line="165" w:lineRule="atLeast"/>
              <w:jc w:val="center"/>
              <w:rPr>
                <w:rFonts w:ascii="Times New Roman" w:hAnsi="Times New Roman" w:cs="Times New Roman"/>
                <w:b/>
                <w:color w:val="auto"/>
                <w:lang w:bidi="ar-SA"/>
              </w:rPr>
            </w:pPr>
            <w:r w:rsidRPr="00624B31">
              <w:rPr>
                <w:rFonts w:ascii="Times New Roman" w:hAnsi="Times New Roman" w:cs="Times New Roman"/>
                <w:b/>
                <w:color w:val="auto"/>
                <w:lang w:bidi="ar-SA"/>
              </w:rPr>
              <w:t>Citation</w:t>
            </w:r>
          </w:p>
        </w:tc>
      </w:tr>
      <w:tr w:rsidR="009D3DE9" w:rsidRPr="00624B31">
        <w:trPr>
          <w:jc w:val="center"/>
        </w:trPr>
        <w:tc>
          <w:tcPr>
            <w:tcW w:w="0" w:type="auto"/>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rPr>
                <w:rFonts w:ascii="Times New Roman" w:hAnsi="Times New Roman" w:cs="Times New Roman"/>
                <w:color w:val="auto"/>
                <w:lang w:bidi="ar-SA"/>
              </w:rPr>
            </w:pPr>
          </w:p>
        </w:tc>
        <w:tc>
          <w:tcPr>
            <w:tcW w:w="0" w:type="auto"/>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proofErr w:type="spellStart"/>
            <w:r w:rsidRPr="00105698">
              <w:rPr>
                <w:rFonts w:ascii="Times New Roman" w:hAnsi="Times New Roman" w:cs="Times New Roman"/>
                <w:color w:val="auto"/>
                <w:lang w:bidi="ar-SA"/>
              </w:rPr>
              <w:t>Coef</w:t>
            </w:r>
            <w:proofErr w:type="spellEnd"/>
            <w:r w:rsidRPr="00105698">
              <w:rPr>
                <w:rFonts w:ascii="Times New Roman" w:hAnsi="Times New Roman" w:cs="Times New Roman"/>
                <w:color w:val="auto"/>
                <w:lang w:bidi="ar-SA"/>
              </w:rPr>
              <w:t>.</w:t>
            </w:r>
          </w:p>
        </w:tc>
        <w:tc>
          <w:tcPr>
            <w:tcW w:w="0" w:type="auto"/>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S.E.</w:t>
            </w:r>
          </w:p>
        </w:tc>
        <w:tc>
          <w:tcPr>
            <w:tcW w:w="963"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p-value</w:t>
            </w:r>
          </w:p>
        </w:tc>
        <w:tc>
          <w:tcPr>
            <w:tcW w:w="930"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proofErr w:type="spellStart"/>
            <w:r w:rsidRPr="00105698">
              <w:rPr>
                <w:rFonts w:ascii="Times New Roman" w:hAnsi="Times New Roman" w:cs="Times New Roman"/>
                <w:color w:val="auto"/>
                <w:lang w:bidi="ar-SA"/>
              </w:rPr>
              <w:t>Coef</w:t>
            </w:r>
            <w:proofErr w:type="spellEnd"/>
            <w:r w:rsidRPr="00105698">
              <w:rPr>
                <w:rFonts w:ascii="Times New Roman" w:hAnsi="Times New Roman" w:cs="Times New Roman"/>
                <w:color w:val="auto"/>
                <w:lang w:bidi="ar-SA"/>
              </w:rPr>
              <w:t>.</w:t>
            </w:r>
          </w:p>
        </w:tc>
        <w:tc>
          <w:tcPr>
            <w:tcW w:w="874"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S.E.</w:t>
            </w:r>
          </w:p>
        </w:tc>
        <w:tc>
          <w:tcPr>
            <w:tcW w:w="870" w:type="dxa"/>
            <w:tcBorders>
              <w:bottom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105698">
              <w:rPr>
                <w:rFonts w:ascii="Times New Roman" w:hAnsi="Times New Roman" w:cs="Times New Roman"/>
                <w:color w:val="auto"/>
                <w:lang w:bidi="ar-SA"/>
              </w:rPr>
              <w:t>p-value</w:t>
            </w:r>
          </w:p>
        </w:tc>
      </w:tr>
      <w:tr w:rsidR="009D3DE9" w:rsidRPr="00624B31">
        <w:trPr>
          <w:jc w:val="center"/>
        </w:trPr>
        <w:tc>
          <w:tcPr>
            <w:tcW w:w="0" w:type="auto"/>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Ideological Distance</w:t>
            </w:r>
          </w:p>
        </w:tc>
        <w:tc>
          <w:tcPr>
            <w:tcW w:w="0" w:type="auto"/>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0.512*</w:t>
            </w:r>
          </w:p>
        </w:tc>
        <w:tc>
          <w:tcPr>
            <w:tcW w:w="0" w:type="auto"/>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0.175</w:t>
            </w:r>
          </w:p>
        </w:tc>
        <w:tc>
          <w:tcPr>
            <w:tcW w:w="963" w:type="dxa"/>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0.003</w:t>
            </w:r>
          </w:p>
        </w:tc>
        <w:tc>
          <w:tcPr>
            <w:tcW w:w="930" w:type="dxa"/>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-0.242*</w:t>
            </w:r>
          </w:p>
        </w:tc>
        <w:tc>
          <w:tcPr>
            <w:tcW w:w="874" w:type="dxa"/>
            <w:tcBorders>
              <w:top w:val="single" w:sz="8" w:space="0" w:color="auto"/>
            </w:tcBorders>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0.046</w:t>
            </w:r>
          </w:p>
        </w:tc>
        <w:tc>
          <w:tcPr>
            <w:tcW w:w="870" w:type="dxa"/>
            <w:tcBorders>
              <w:top w:val="single" w:sz="8" w:space="0" w:color="auto"/>
            </w:tcBorders>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Split Panel, Majority Author</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0.354*</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0.104</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-0.103*</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0.029</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Counterjudge Author</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0.064</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0.137</w:t>
            </w:r>
          </w:p>
        </w:tc>
        <w:tc>
          <w:tcPr>
            <w:tcW w:w="963"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0.643</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-0.161*</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0.038</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ID Distance X Split, Majority Au.</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-0.588*</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0.215</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0.006</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0.189*</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0.058</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ID Distance X Counterjudge Au.</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-0.252</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0.266</w:t>
            </w:r>
          </w:p>
        </w:tc>
        <w:tc>
          <w:tcPr>
            <w:tcW w:w="963"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0.344</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0.248*</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0.072</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r>
      <w:tr w:rsidR="009D3DE9" w:rsidRPr="00624B31">
        <w:trPr>
          <w:jc w:val="center"/>
        </w:trPr>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Precedent by Panel Non-Author</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0.151</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0.093</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0.105</w:t>
            </w:r>
          </w:p>
        </w:tc>
        <w:tc>
          <w:tcPr>
            <w:tcW w:w="93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0.145*</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0.023</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Precedent by Panel Author</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0.122</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0.115</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0.289</w:t>
            </w:r>
          </w:p>
        </w:tc>
        <w:tc>
          <w:tcPr>
            <w:tcW w:w="93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0.495*</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0.025</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Similarity Percentile</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0.219*</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0.011</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0.089*</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Dissent (prec.)</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0.271*</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0.061</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-0.057*</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0.018</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Per Curiam (prec.)</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-0.275</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0.159</w:t>
            </w:r>
          </w:p>
        </w:tc>
        <w:tc>
          <w:tcPr>
            <w:tcW w:w="963"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0.083</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-0.293*</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0.040</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En Banc (prec.)</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-0.255</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0.155</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0.100</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-0.134*</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0.043</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0.002</w:t>
            </w:r>
          </w:p>
        </w:tc>
      </w:tr>
      <w:tr w:rsidR="009D3DE9" w:rsidRPr="00624B31">
        <w:trPr>
          <w:jc w:val="center"/>
        </w:trPr>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Vitality</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-0.068*</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0.017</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0.028*</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0.006</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Total Citations</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0.007</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0.005</w:t>
            </w:r>
          </w:p>
        </w:tc>
        <w:tc>
          <w:tcPr>
            <w:tcW w:w="963"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0.149</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0.028*</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Total Treatments</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0.212*</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0.016</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0.085*</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0.006</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Precedent Age</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-0.106*</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0.010</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-0.155*</w:t>
            </w:r>
          </w:p>
        </w:tc>
        <w:tc>
          <w:tcPr>
            <w:tcW w:w="874"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0.003</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Precedent Age</w:t>
            </w:r>
            <w:r w:rsidRPr="00105698">
              <w:rPr>
                <w:rFonts w:ascii="Times New Roman" w:hAnsi="Times New Roman" w:cs="Times New Roman"/>
                <w:color w:val="auto"/>
                <w:vertAlign w:val="superscript"/>
                <w:lang w:bidi="ar-SA"/>
              </w:rPr>
              <w:t>2</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63"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0.687</w:t>
            </w:r>
          </w:p>
        </w:tc>
        <w:tc>
          <w:tcPr>
            <w:tcW w:w="93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Opinion Length (prec.)</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-0.141*</w:t>
            </w:r>
          </w:p>
        </w:tc>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0.041</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0.001</w:t>
            </w:r>
          </w:p>
        </w:tc>
        <w:tc>
          <w:tcPr>
            <w:tcW w:w="93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0.061*</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0.010</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Opinion Length (treatment)</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0.709*</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0.049</w:t>
            </w:r>
          </w:p>
        </w:tc>
        <w:tc>
          <w:tcPr>
            <w:tcW w:w="963"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0.496*</w:t>
            </w:r>
          </w:p>
        </w:tc>
        <w:tc>
          <w:tcPr>
            <w:tcW w:w="874"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0.016</w:t>
            </w:r>
          </w:p>
        </w:tc>
        <w:tc>
          <w:tcPr>
            <w:tcW w:w="870"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Available In-Circuit Precedents</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-0.374*</w:t>
            </w:r>
          </w:p>
        </w:tc>
        <w:tc>
          <w:tcPr>
            <w:tcW w:w="0" w:type="auto"/>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0.073</w:t>
            </w:r>
          </w:p>
        </w:tc>
        <w:tc>
          <w:tcPr>
            <w:tcW w:w="963"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-0.428*</w:t>
            </w:r>
          </w:p>
        </w:tc>
        <w:tc>
          <w:tcPr>
            <w:tcW w:w="874" w:type="dxa"/>
            <w:shd w:val="clear" w:color="auto" w:fill="FFFFFF"/>
            <w:tcMar>
              <w:top w:w="0" w:type="dxa"/>
              <w:left w:w="75" w:type="dxa"/>
              <w:bottom w:w="0" w:type="dxa"/>
              <w:right w:w="75" w:type="dxa"/>
            </w:tcMa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0.023</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rPr>
                <w:rFonts w:ascii="Times New Roman" w:hAnsi="Times New Roman" w:cs="Times New Roman"/>
                <w:color w:val="auto"/>
                <w:lang w:bidi="ar-SA"/>
              </w:rPr>
            </w:pPr>
            <w:r w:rsidRPr="00105698">
              <w:rPr>
                <w:rFonts w:ascii="Times New Roman" w:hAnsi="Times New Roman" w:cs="Times New Roman"/>
                <w:color w:val="auto"/>
                <w:lang w:bidi="ar-SA"/>
              </w:rPr>
              <w:t>Caseload</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0" w:type="auto"/>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63" w:type="dxa"/>
            <w:shd w:val="clear" w:color="auto" w:fill="FFFFFF"/>
            <w:tcMar>
              <w:top w:w="0" w:type="dxa"/>
              <w:left w:w="75" w:type="dxa"/>
              <w:bottom w:w="0" w:type="dxa"/>
              <w:right w:w="75" w:type="dxa"/>
            </w:tcMar>
            <w:vAlign w:val="center"/>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0.285</w:t>
            </w:r>
          </w:p>
        </w:tc>
        <w:tc>
          <w:tcPr>
            <w:tcW w:w="93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874"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870" w:type="dxa"/>
            <w:shd w:val="clear" w:color="auto" w:fill="FFFFFF"/>
            <w:tcMar>
              <w:top w:w="0" w:type="dxa"/>
              <w:left w:w="75" w:type="dxa"/>
              <w:bottom w:w="0" w:type="dxa"/>
              <w:right w:w="75" w:type="dxa"/>
            </w:tcMar>
            <w:vAlign w:val="bottom"/>
          </w:tcPr>
          <w:p w:rsidR="00105698" w:rsidRPr="00105698" w:rsidRDefault="00105698"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0.112</w:t>
            </w:r>
          </w:p>
        </w:tc>
      </w:tr>
      <w:tr w:rsidR="009D3DE9" w:rsidRPr="00624B31">
        <w:trPr>
          <w:jc w:val="center"/>
        </w:trPr>
        <w:tc>
          <w:tcPr>
            <w:tcW w:w="0" w:type="auto"/>
            <w:shd w:val="clear" w:color="auto" w:fill="FFFFFF"/>
            <w:tcMar>
              <w:top w:w="0" w:type="dxa"/>
              <w:left w:w="75" w:type="dxa"/>
              <w:bottom w:w="0" w:type="dxa"/>
              <w:right w:w="75" w:type="dxa"/>
            </w:tcMar>
            <w:vAlign w:val="center"/>
          </w:tcPr>
          <w:p w:rsidR="009D3DE9" w:rsidRPr="00624B31" w:rsidRDefault="009D3DE9" w:rsidP="006400FB">
            <w:pPr>
              <w:widowControl/>
              <w:spacing w:line="165" w:lineRule="atLeast"/>
              <w:rPr>
                <w:rFonts w:ascii="Times New Roman" w:hAnsi="Times New Roman" w:cs="Times New Roman"/>
                <w:color w:val="auto"/>
                <w:lang w:bidi="ar-SA"/>
              </w:rPr>
            </w:pPr>
            <w:r w:rsidRPr="00624B31">
              <w:rPr>
                <w:rFonts w:ascii="Times New Roman" w:hAnsi="Times New Roman" w:cs="Times New Roman"/>
                <w:color w:val="auto"/>
                <w:lang w:bidi="ar-SA"/>
              </w:rPr>
              <w:t>Intercept</w:t>
            </w:r>
          </w:p>
        </w:tc>
        <w:tc>
          <w:tcPr>
            <w:tcW w:w="0" w:type="auto"/>
            <w:shd w:val="clear" w:color="auto" w:fill="FFFFFF"/>
            <w:tcMar>
              <w:top w:w="0" w:type="dxa"/>
              <w:left w:w="75" w:type="dxa"/>
              <w:bottom w:w="0" w:type="dxa"/>
              <w:right w:w="75" w:type="dxa"/>
            </w:tcMar>
            <w:vAlign w:val="bottom"/>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-28.505*</w:t>
            </w:r>
          </w:p>
        </w:tc>
        <w:tc>
          <w:tcPr>
            <w:tcW w:w="0" w:type="auto"/>
            <w:shd w:val="clear" w:color="auto" w:fill="FFFFFF"/>
            <w:tcMar>
              <w:top w:w="0" w:type="dxa"/>
              <w:left w:w="75" w:type="dxa"/>
              <w:bottom w:w="0" w:type="dxa"/>
              <w:right w:w="75" w:type="dxa"/>
            </w:tcMar>
            <w:vAlign w:val="bottom"/>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1.238</w:t>
            </w:r>
          </w:p>
        </w:tc>
        <w:tc>
          <w:tcPr>
            <w:tcW w:w="963" w:type="dxa"/>
            <w:shd w:val="clear" w:color="auto" w:fill="FFFFFF"/>
            <w:tcMar>
              <w:top w:w="0" w:type="dxa"/>
              <w:left w:w="75" w:type="dxa"/>
              <w:bottom w:w="0" w:type="dxa"/>
              <w:right w:w="75" w:type="dxa"/>
            </w:tcMar>
            <w:vAlign w:val="center"/>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c>
          <w:tcPr>
            <w:tcW w:w="930" w:type="dxa"/>
            <w:shd w:val="clear" w:color="auto" w:fill="FFFFFF"/>
            <w:tcMar>
              <w:top w:w="0" w:type="dxa"/>
              <w:left w:w="75" w:type="dxa"/>
              <w:bottom w:w="0" w:type="dxa"/>
              <w:right w:w="75" w:type="dxa"/>
            </w:tcMar>
            <w:vAlign w:val="bottom"/>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-12.268</w:t>
            </w:r>
          </w:p>
        </w:tc>
        <w:tc>
          <w:tcPr>
            <w:tcW w:w="874" w:type="dxa"/>
            <w:shd w:val="clear" w:color="auto" w:fill="FFFFFF"/>
            <w:tcMar>
              <w:top w:w="0" w:type="dxa"/>
              <w:left w:w="75" w:type="dxa"/>
              <w:bottom w:w="0" w:type="dxa"/>
              <w:right w:w="75" w:type="dxa"/>
            </w:tcMar>
            <w:vAlign w:val="bottom"/>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0.237</w:t>
            </w:r>
          </w:p>
        </w:tc>
        <w:tc>
          <w:tcPr>
            <w:tcW w:w="870" w:type="dxa"/>
            <w:shd w:val="clear" w:color="auto" w:fill="FFFFFF"/>
            <w:tcMar>
              <w:top w:w="0" w:type="dxa"/>
              <w:left w:w="75" w:type="dxa"/>
              <w:bottom w:w="0" w:type="dxa"/>
              <w:right w:w="75" w:type="dxa"/>
            </w:tcMar>
            <w:vAlign w:val="bottom"/>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0.000</w:t>
            </w:r>
          </w:p>
        </w:tc>
      </w:tr>
      <w:tr w:rsidR="009D3DE9" w:rsidRPr="00624B31">
        <w:trPr>
          <w:jc w:val="center"/>
        </w:trPr>
        <w:tc>
          <w:tcPr>
            <w:tcW w:w="0" w:type="auto"/>
            <w:tcBorders>
              <w:top w:val="single" w:sz="8" w:space="0" w:color="auto"/>
              <w:bottom w:val="single" w:sz="8" w:space="0" w:color="auto"/>
            </w:tcBorders>
            <w:shd w:val="clear" w:color="auto" w:fill="FFFFFF"/>
            <w:tcMar>
              <w:top w:w="0" w:type="dxa"/>
              <w:left w:w="75" w:type="dxa"/>
              <w:bottom w:w="0" w:type="dxa"/>
              <w:right w:w="75" w:type="dxa"/>
            </w:tcMar>
          </w:tcPr>
          <w:p w:rsidR="009D3DE9" w:rsidRPr="00624B31" w:rsidRDefault="009D3DE9" w:rsidP="006400FB">
            <w:pPr>
              <w:widowControl/>
              <w:spacing w:line="165" w:lineRule="atLeast"/>
              <w:rPr>
                <w:rFonts w:ascii="Times New Roman" w:hAnsi="Times New Roman" w:cs="Times New Roman"/>
                <w:color w:val="auto"/>
                <w:lang w:bidi="ar-SA"/>
              </w:rPr>
            </w:pPr>
            <w:r w:rsidRPr="00624B31">
              <w:rPr>
                <w:rFonts w:ascii="Times New Roman" w:hAnsi="Times New Roman" w:cs="Times New Roman"/>
                <w:color w:val="auto"/>
                <w:lang w:bidi="ar-SA"/>
              </w:rPr>
              <w:t>N</w:t>
            </w:r>
          </w:p>
        </w:tc>
        <w:tc>
          <w:tcPr>
            <w:tcW w:w="5337" w:type="dxa"/>
            <w:gridSpan w:val="6"/>
            <w:tcBorders>
              <w:top w:val="single" w:sz="8" w:space="0" w:color="auto"/>
              <w:bottom w:val="single" w:sz="8" w:space="0" w:color="auto"/>
            </w:tcBorders>
            <w:shd w:val="clear" w:color="auto" w:fill="FFFFFF"/>
            <w:tcMar>
              <w:top w:w="0" w:type="dxa"/>
              <w:left w:w="75" w:type="dxa"/>
              <w:bottom w:w="0" w:type="dxa"/>
              <w:right w:w="75" w:type="dxa"/>
            </w:tcMar>
          </w:tcPr>
          <w:p w:rsidR="009D3DE9" w:rsidRPr="00624B31" w:rsidRDefault="009D3DE9" w:rsidP="006400FB">
            <w:pPr>
              <w:widowControl/>
              <w:spacing w:line="165" w:lineRule="atLeast"/>
              <w:jc w:val="center"/>
              <w:rPr>
                <w:rFonts w:ascii="Times New Roman" w:hAnsi="Times New Roman" w:cs="Times New Roman"/>
                <w:color w:val="auto"/>
                <w:lang w:bidi="ar-SA"/>
              </w:rPr>
            </w:pPr>
            <w:r w:rsidRPr="00624B31">
              <w:rPr>
                <w:rFonts w:ascii="Times New Roman" w:hAnsi="Times New Roman" w:cs="Times New Roman"/>
                <w:color w:val="auto"/>
                <w:lang w:bidi="ar-SA"/>
              </w:rPr>
              <w:t>3,197,420</w:t>
            </w:r>
          </w:p>
        </w:tc>
      </w:tr>
    </w:tbl>
    <w:p w:rsidR="00105698" w:rsidRPr="00624B31" w:rsidRDefault="00105698" w:rsidP="006400FB">
      <w:pPr>
        <w:rPr>
          <w:rFonts w:ascii="Times New Roman" w:hAnsi="Times New Roman" w:cs="Times New Roman"/>
        </w:rPr>
      </w:pPr>
    </w:p>
    <w:p w:rsidR="00845B01" w:rsidRPr="00624B31" w:rsidRDefault="00845B01" w:rsidP="006400FB">
      <w:pPr>
        <w:jc w:val="both"/>
        <w:rPr>
          <w:rFonts w:ascii="Times New Roman" w:hAnsi="Times New Roman" w:cs="Times New Roman"/>
        </w:rPr>
      </w:pPr>
      <w:r w:rsidRPr="00624B31">
        <w:rPr>
          <w:rFonts w:ascii="Times New Roman" w:hAnsi="Times New Roman" w:cs="Times New Roman"/>
        </w:rPr>
        <w:t>Table 2: Multinomial logit regression estimates of the e</w:t>
      </w:r>
      <w:r w:rsidR="004A670D">
        <w:rPr>
          <w:rFonts w:ascii="Times New Roman" w:hAnsi="Times New Roman" w:cs="Times New Roman"/>
        </w:rPr>
        <w:t>ff</w:t>
      </w:r>
      <w:r w:rsidRPr="00624B31">
        <w:rPr>
          <w:rFonts w:ascii="Times New Roman" w:hAnsi="Times New Roman" w:cs="Times New Roman"/>
        </w:rPr>
        <w:t xml:space="preserve">ect of </w:t>
      </w:r>
      <w:r w:rsidRPr="004A670D">
        <w:rPr>
          <w:rFonts w:ascii="Times New Roman" w:hAnsi="Times New Roman" w:cs="Times New Roman"/>
          <w:i/>
        </w:rPr>
        <w:t>Ideological Distance</w:t>
      </w:r>
      <w:r w:rsidRPr="00624B31">
        <w:rPr>
          <w:rFonts w:ascii="Times New Roman" w:hAnsi="Times New Roman" w:cs="Times New Roman"/>
        </w:rPr>
        <w:t>, panel</w:t>
      </w:r>
      <w:r w:rsidR="009D3DE9" w:rsidRPr="00624B31">
        <w:rPr>
          <w:rFonts w:ascii="Times New Roman" w:hAnsi="Times New Roman" w:cs="Times New Roman"/>
        </w:rPr>
        <w:t xml:space="preserve"> </w:t>
      </w:r>
      <w:r w:rsidRPr="00624B31">
        <w:rPr>
          <w:rFonts w:ascii="Times New Roman" w:hAnsi="Times New Roman" w:cs="Times New Roman"/>
        </w:rPr>
        <w:t xml:space="preserve">type, their interaction, and a range of control variables on </w:t>
      </w:r>
      <w:r w:rsidR="009D3DE9" w:rsidRPr="00624B31">
        <w:rPr>
          <w:rFonts w:ascii="Times New Roman" w:hAnsi="Times New Roman" w:cs="Times New Roman"/>
        </w:rPr>
        <w:t>the decision of whether to nega</w:t>
      </w:r>
      <w:r w:rsidRPr="00624B31">
        <w:rPr>
          <w:rFonts w:ascii="Times New Roman" w:hAnsi="Times New Roman" w:cs="Times New Roman"/>
        </w:rPr>
        <w:t>tively treat, ignore, or cite a precedent. The baseline outcome is ignoring a precedent. The</w:t>
      </w:r>
      <w:r w:rsidR="009D3DE9" w:rsidRPr="00624B31">
        <w:rPr>
          <w:rFonts w:ascii="Times New Roman" w:hAnsi="Times New Roman" w:cs="Times New Roman"/>
        </w:rPr>
        <w:t xml:space="preserve"> </w:t>
      </w:r>
      <w:r w:rsidRPr="00624B31">
        <w:rPr>
          <w:rFonts w:ascii="Times New Roman" w:hAnsi="Times New Roman" w:cs="Times New Roman"/>
        </w:rPr>
        <w:t>reported standard errors are robust standard errors that are clustered on the treatment case</w:t>
      </w:r>
      <w:r w:rsidR="009D3DE9" w:rsidRPr="00624B31">
        <w:rPr>
          <w:rFonts w:ascii="Times New Roman" w:hAnsi="Times New Roman" w:cs="Times New Roman"/>
        </w:rPr>
        <w:t xml:space="preserve"> </w:t>
      </w:r>
      <w:r w:rsidRPr="00624B31">
        <w:rPr>
          <w:rFonts w:ascii="Times New Roman" w:hAnsi="Times New Roman" w:cs="Times New Roman"/>
        </w:rPr>
        <w:t>and * denotes a p-value less than 0.05.</w:t>
      </w:r>
    </w:p>
    <w:p w:rsidR="00845B01" w:rsidRPr="00624B31" w:rsidRDefault="00845B01" w:rsidP="006400FB">
      <w:pPr>
        <w:rPr>
          <w:rFonts w:ascii="Times New Roman" w:hAnsi="Times New Roman" w:cs="Times New Roman"/>
        </w:rPr>
      </w:pPr>
    </w:p>
    <w:p w:rsidR="000241C8" w:rsidRPr="00624B31" w:rsidRDefault="000241C8" w:rsidP="006400FB">
      <w:pPr>
        <w:rPr>
          <w:rFonts w:ascii="Times New Roman" w:eastAsia="AppleMyungjo" w:hAnsi="Times New Roman" w:cs="Times New Roman"/>
        </w:rPr>
      </w:pPr>
    </w:p>
    <w:p w:rsidR="00641B03" w:rsidRPr="00624B31" w:rsidRDefault="00641B03" w:rsidP="006400FB">
      <w:pPr>
        <w:rPr>
          <w:rFonts w:ascii="Times New Roman" w:eastAsia="AppleMyungjo" w:hAnsi="Times New Roman" w:cs="Times New Roman"/>
          <w:b/>
        </w:rPr>
      </w:pPr>
      <w:r w:rsidRPr="00624B31">
        <w:rPr>
          <w:rFonts w:ascii="Times New Roman" w:hAnsi="Times New Roman" w:cs="Times New Roman"/>
          <w:b/>
        </w:rPr>
        <w:br w:type="page"/>
      </w:r>
    </w:p>
    <w:p w:rsidR="00C95181" w:rsidRPr="00624B31" w:rsidRDefault="00C3656E" w:rsidP="006400FB">
      <w:pPr>
        <w:pStyle w:val="Bodytext20"/>
        <w:shd w:val="clear" w:color="auto" w:fill="auto"/>
        <w:spacing w:before="0" w:line="480" w:lineRule="auto"/>
        <w:ind w:left="280"/>
        <w:rPr>
          <w:rFonts w:ascii="Times New Roman" w:hAnsi="Times New Roman" w:cs="Times New Roman"/>
          <w:b/>
          <w:sz w:val="24"/>
          <w:szCs w:val="24"/>
        </w:rPr>
      </w:pPr>
      <w:r w:rsidRPr="00624B31">
        <w:rPr>
          <w:rFonts w:ascii="Times New Roman" w:hAnsi="Times New Roman" w:cs="Times New Roman"/>
          <w:b/>
          <w:sz w:val="24"/>
          <w:szCs w:val="24"/>
        </w:rPr>
        <w:t>Figures</w:t>
      </w:r>
    </w:p>
    <w:p w:rsidR="00641B03" w:rsidRPr="00624B31" w:rsidRDefault="00641B03" w:rsidP="006400FB">
      <w:pPr>
        <w:pStyle w:val="Bodytext20"/>
        <w:shd w:val="clear" w:color="auto" w:fill="auto"/>
        <w:spacing w:before="0" w:line="480" w:lineRule="auto"/>
        <w:ind w:left="280"/>
        <w:rPr>
          <w:rFonts w:ascii="Times New Roman" w:hAnsi="Times New Roman" w:cs="Times New Roman"/>
          <w:b/>
          <w:sz w:val="24"/>
          <w:szCs w:val="24"/>
        </w:rPr>
      </w:pPr>
    </w:p>
    <w:p w:rsidR="00641B03" w:rsidRPr="00624B31" w:rsidRDefault="00641B03" w:rsidP="006400FB">
      <w:pPr>
        <w:pStyle w:val="Bodytext20"/>
        <w:shd w:val="clear" w:color="auto" w:fill="auto"/>
        <w:spacing w:before="0" w:line="480" w:lineRule="auto"/>
        <w:ind w:left="280"/>
        <w:rPr>
          <w:rFonts w:ascii="Times New Roman" w:hAnsi="Times New Roman" w:cs="Times New Roman"/>
          <w:b/>
          <w:sz w:val="24"/>
          <w:szCs w:val="24"/>
        </w:rPr>
      </w:pPr>
    </w:p>
    <w:p w:rsidR="00C3656E" w:rsidRPr="00624B31" w:rsidRDefault="00641B03" w:rsidP="006400FB">
      <w:pPr>
        <w:pStyle w:val="Bodytext20"/>
        <w:shd w:val="clear" w:color="auto" w:fill="auto"/>
        <w:spacing w:before="0" w:line="480" w:lineRule="auto"/>
        <w:ind w:firstLine="0"/>
        <w:rPr>
          <w:rFonts w:ascii="Times New Roman" w:hAnsi="Times New Roman" w:cs="Times New Roman"/>
          <w:sz w:val="24"/>
          <w:szCs w:val="24"/>
        </w:rPr>
      </w:pPr>
      <w:r w:rsidRPr="00624B31">
        <w:rPr>
          <w:rFonts w:ascii="Times New Roman" w:hAnsi="Times New Roman" w:cs="Times New Roman"/>
          <w:noProof/>
          <w:sz w:val="24"/>
          <w:szCs w:val="24"/>
          <w:lang w:bidi="ar-SA"/>
        </w:rPr>
        <w:drawing>
          <wp:inline distT="0" distB="0" distL="0" distR="0">
            <wp:extent cx="5943600" cy="353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PanelSum.png"/>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3531235"/>
                    </a:xfrm>
                    <a:prstGeom prst="rect">
                      <a:avLst/>
                    </a:prstGeom>
                  </pic:spPr>
                </pic:pic>
              </a:graphicData>
            </a:graphic>
          </wp:inline>
        </w:drawing>
      </w:r>
    </w:p>
    <w:p w:rsidR="00305ED4" w:rsidRPr="00624B31" w:rsidRDefault="00305ED4" w:rsidP="006400FB">
      <w:pPr>
        <w:pStyle w:val="Bodytext20"/>
        <w:shd w:val="clear" w:color="auto" w:fill="auto"/>
        <w:spacing w:before="0" w:line="240" w:lineRule="auto"/>
        <w:ind w:firstLine="0"/>
        <w:rPr>
          <w:rFonts w:ascii="Times New Roman" w:hAnsi="Times New Roman" w:cs="Times New Roman"/>
          <w:sz w:val="24"/>
          <w:szCs w:val="24"/>
        </w:rPr>
      </w:pPr>
      <w:r w:rsidRPr="00624B31">
        <w:rPr>
          <w:rFonts w:ascii="Times New Roman" w:hAnsi="Times New Roman" w:cs="Times New Roman"/>
          <w:sz w:val="24"/>
          <w:szCs w:val="24"/>
        </w:rPr>
        <w:t>Figure 1: Distribution of Panel Type by Circuit: Published, authored opinions in search and</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seizure cases from 1990 to 2010 broken down by panel type and circuit.</w:t>
      </w:r>
    </w:p>
    <w:p w:rsidR="00305ED4" w:rsidRPr="00624B31" w:rsidRDefault="00305ED4" w:rsidP="006400FB">
      <w:pPr>
        <w:pStyle w:val="Bodytext20"/>
        <w:shd w:val="clear" w:color="auto" w:fill="auto"/>
        <w:spacing w:before="0" w:line="240" w:lineRule="auto"/>
        <w:ind w:firstLine="0"/>
        <w:rPr>
          <w:rFonts w:ascii="Times New Roman" w:hAnsi="Times New Roman" w:cs="Times New Roman"/>
          <w:sz w:val="24"/>
          <w:szCs w:val="24"/>
        </w:rPr>
      </w:pP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r w:rsidRPr="00624B31">
        <w:rPr>
          <w:rFonts w:ascii="Times New Roman" w:hAnsi="Times New Roman" w:cs="Times New Roman"/>
          <w:noProof/>
          <w:sz w:val="24"/>
          <w:szCs w:val="24"/>
          <w:lang w:bidi="ar-SA"/>
        </w:rPr>
        <w:drawing>
          <wp:inline distT="0" distB="0" distL="0" distR="0">
            <wp:extent cx="594360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citeMEb.pdf"/>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2971800"/>
                    </a:xfrm>
                    <a:prstGeom prst="rect">
                      <a:avLst/>
                    </a:prstGeom>
                  </pic:spPr>
                </pic:pic>
              </a:graphicData>
            </a:graphic>
          </wp:inline>
        </w:drawing>
      </w: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p>
    <w:p w:rsidR="00305ED4" w:rsidRPr="00624B31" w:rsidRDefault="00305ED4" w:rsidP="006400FB">
      <w:pPr>
        <w:pStyle w:val="Bodytext20"/>
        <w:shd w:val="clear" w:color="auto" w:fill="auto"/>
        <w:spacing w:before="0" w:line="240" w:lineRule="auto"/>
        <w:ind w:firstLine="0"/>
        <w:rPr>
          <w:rFonts w:ascii="Times New Roman" w:hAnsi="Times New Roman" w:cs="Times New Roman"/>
          <w:sz w:val="24"/>
          <w:szCs w:val="24"/>
        </w:rPr>
      </w:pPr>
      <w:r w:rsidRPr="00624B31">
        <w:rPr>
          <w:rFonts w:ascii="Times New Roman" w:hAnsi="Times New Roman" w:cs="Times New Roman"/>
          <w:sz w:val="24"/>
          <w:szCs w:val="24"/>
        </w:rPr>
        <w:t>Figure 2: Marginal E</w:t>
      </w:r>
      <w:r w:rsidR="00B25B78" w:rsidRPr="00624B31">
        <w:rPr>
          <w:rFonts w:ascii="Times New Roman" w:hAnsi="Times New Roman" w:cs="Times New Roman"/>
          <w:sz w:val="24"/>
          <w:szCs w:val="24"/>
        </w:rPr>
        <w:t>ff</w:t>
      </w:r>
      <w:r w:rsidRPr="00624B31">
        <w:rPr>
          <w:rFonts w:ascii="Times New Roman" w:hAnsi="Times New Roman" w:cs="Times New Roman"/>
          <w:sz w:val="24"/>
          <w:szCs w:val="24"/>
        </w:rPr>
        <w:t>ects: This graph illustrates the marginal e</w:t>
      </w:r>
      <w:r w:rsidR="00B25B78" w:rsidRPr="00624B31">
        <w:rPr>
          <w:rFonts w:ascii="Times New Roman" w:hAnsi="Times New Roman" w:cs="Times New Roman"/>
          <w:sz w:val="24"/>
          <w:szCs w:val="24"/>
        </w:rPr>
        <w:t>ff</w:t>
      </w:r>
      <w:r w:rsidRPr="00624B31">
        <w:rPr>
          <w:rFonts w:ascii="Times New Roman" w:hAnsi="Times New Roman" w:cs="Times New Roman"/>
          <w:sz w:val="24"/>
          <w:szCs w:val="24"/>
        </w:rPr>
        <w:t xml:space="preserve">ect of </w:t>
      </w:r>
      <w:r w:rsidRPr="00624B31">
        <w:rPr>
          <w:rFonts w:ascii="Times New Roman" w:hAnsi="Times New Roman" w:cs="Times New Roman"/>
          <w:i/>
          <w:sz w:val="24"/>
          <w:szCs w:val="24"/>
        </w:rPr>
        <w:t>Ideological Distance</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for each panel type. Panel (a) shows the marginal e</w:t>
      </w:r>
      <w:r w:rsidR="00B25B78" w:rsidRPr="00624B31">
        <w:rPr>
          <w:rFonts w:ascii="Times New Roman" w:hAnsi="Times New Roman" w:cs="Times New Roman"/>
          <w:sz w:val="24"/>
          <w:szCs w:val="24"/>
        </w:rPr>
        <w:t>ff</w:t>
      </w:r>
      <w:r w:rsidRPr="00624B31">
        <w:rPr>
          <w:rFonts w:ascii="Times New Roman" w:hAnsi="Times New Roman" w:cs="Times New Roman"/>
          <w:sz w:val="24"/>
          <w:szCs w:val="24"/>
        </w:rPr>
        <w:t>ect on negative treatment and panel</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(b) shows the marginal e</w:t>
      </w:r>
      <w:r w:rsidR="00B25B78" w:rsidRPr="00624B31">
        <w:rPr>
          <w:rFonts w:ascii="Times New Roman" w:hAnsi="Times New Roman" w:cs="Times New Roman"/>
          <w:sz w:val="24"/>
          <w:szCs w:val="24"/>
        </w:rPr>
        <w:t>ff</w:t>
      </w:r>
      <w:r w:rsidRPr="00624B31">
        <w:rPr>
          <w:rFonts w:ascii="Times New Roman" w:hAnsi="Times New Roman" w:cs="Times New Roman"/>
          <w:sz w:val="24"/>
          <w:szCs w:val="24"/>
        </w:rPr>
        <w:t>ect on citation. All other variables are held at their median</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conditional on not being ignored. The shaded regions delineate the 95% con</w:t>
      </w:r>
      <w:r w:rsidR="00B25B78" w:rsidRPr="00624B31">
        <w:rPr>
          <w:rFonts w:ascii="Times New Roman" w:hAnsi="Times New Roman" w:cs="Times New Roman"/>
          <w:sz w:val="24"/>
          <w:szCs w:val="24"/>
        </w:rPr>
        <w:t>fi</w:t>
      </w:r>
      <w:r w:rsidRPr="00624B31">
        <w:rPr>
          <w:rFonts w:ascii="Times New Roman" w:hAnsi="Times New Roman" w:cs="Times New Roman"/>
          <w:sz w:val="24"/>
          <w:szCs w:val="24"/>
        </w:rPr>
        <w:t>dence intervals</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when the panel is un</w:t>
      </w:r>
      <w:r w:rsidR="00B25B78" w:rsidRPr="00624B31">
        <w:rPr>
          <w:rFonts w:ascii="Times New Roman" w:hAnsi="Times New Roman" w:cs="Times New Roman"/>
          <w:sz w:val="24"/>
          <w:szCs w:val="24"/>
        </w:rPr>
        <w:t>if</w:t>
      </w:r>
      <w:r w:rsidRPr="00624B31">
        <w:rPr>
          <w:rFonts w:ascii="Times New Roman" w:hAnsi="Times New Roman" w:cs="Times New Roman"/>
          <w:sz w:val="24"/>
          <w:szCs w:val="24"/>
        </w:rPr>
        <w:t>ied. The marginal e</w:t>
      </w:r>
      <w:r w:rsidR="00B25B78" w:rsidRPr="00624B31">
        <w:rPr>
          <w:rFonts w:ascii="Times New Roman" w:hAnsi="Times New Roman" w:cs="Times New Roman"/>
          <w:sz w:val="24"/>
          <w:szCs w:val="24"/>
        </w:rPr>
        <w:t>ff</w:t>
      </w:r>
      <w:r w:rsidRPr="00624B31">
        <w:rPr>
          <w:rFonts w:ascii="Times New Roman" w:hAnsi="Times New Roman" w:cs="Times New Roman"/>
          <w:sz w:val="24"/>
          <w:szCs w:val="24"/>
        </w:rPr>
        <w:t>ects for the other panel types are not statistically</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signi</w:t>
      </w:r>
      <w:r w:rsidR="00B25B78" w:rsidRPr="00624B31">
        <w:rPr>
          <w:rFonts w:ascii="Times New Roman" w:hAnsi="Times New Roman" w:cs="Times New Roman"/>
          <w:sz w:val="24"/>
          <w:szCs w:val="24"/>
        </w:rPr>
        <w:t>fi</w:t>
      </w:r>
      <w:r w:rsidRPr="00624B31">
        <w:rPr>
          <w:rFonts w:ascii="Times New Roman" w:hAnsi="Times New Roman" w:cs="Times New Roman"/>
          <w:sz w:val="24"/>
          <w:szCs w:val="24"/>
        </w:rPr>
        <w:t>cant, so their con</w:t>
      </w:r>
      <w:r w:rsidR="00B25B78" w:rsidRPr="00624B31">
        <w:rPr>
          <w:rFonts w:ascii="Times New Roman" w:hAnsi="Times New Roman" w:cs="Times New Roman"/>
          <w:sz w:val="24"/>
          <w:szCs w:val="24"/>
        </w:rPr>
        <w:t>fi</w:t>
      </w:r>
      <w:r w:rsidRPr="00624B31">
        <w:rPr>
          <w:rFonts w:ascii="Times New Roman" w:hAnsi="Times New Roman" w:cs="Times New Roman"/>
          <w:sz w:val="24"/>
          <w:szCs w:val="24"/>
        </w:rPr>
        <w:t>dence intervals are excluded for visual clarity.</w:t>
      </w: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p>
    <w:p w:rsidR="00641B03" w:rsidRPr="00624B31" w:rsidRDefault="00641B03" w:rsidP="006400FB">
      <w:pPr>
        <w:rPr>
          <w:rFonts w:ascii="Times New Roman" w:eastAsia="AppleMyungjo" w:hAnsi="Times New Roman" w:cs="Times New Roman"/>
        </w:rPr>
      </w:pPr>
      <w:r w:rsidRPr="00624B31">
        <w:rPr>
          <w:rFonts w:ascii="Times New Roman" w:hAnsi="Times New Roman" w:cs="Times New Roman"/>
        </w:rPr>
        <w:br w:type="page"/>
      </w: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p>
    <w:p w:rsidR="00305ED4" w:rsidRPr="00624B31" w:rsidRDefault="00305ED4" w:rsidP="006400FB">
      <w:pPr>
        <w:pStyle w:val="Bodytext20"/>
        <w:shd w:val="clear" w:color="auto" w:fill="auto"/>
        <w:spacing w:before="0" w:line="240" w:lineRule="auto"/>
        <w:ind w:firstLine="0"/>
        <w:rPr>
          <w:rFonts w:ascii="Times New Roman" w:hAnsi="Times New Roman" w:cs="Times New Roman"/>
          <w:sz w:val="24"/>
          <w:szCs w:val="24"/>
        </w:rPr>
      </w:pP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r w:rsidRPr="00624B31">
        <w:rPr>
          <w:rFonts w:ascii="Times New Roman" w:hAnsi="Times New Roman" w:cs="Times New Roman"/>
          <w:noProof/>
          <w:sz w:val="24"/>
          <w:szCs w:val="24"/>
          <w:lang w:bidi="ar-SA"/>
        </w:rPr>
        <w:drawing>
          <wp:inline distT="0" distB="0" distL="0" distR="0">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itePPb.pdf"/>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2971800"/>
                    </a:xfrm>
                    <a:prstGeom prst="rect">
                      <a:avLst/>
                    </a:prstGeom>
                  </pic:spPr>
                </pic:pic>
              </a:graphicData>
            </a:graphic>
          </wp:inline>
        </w:drawing>
      </w: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p>
    <w:p w:rsidR="00B25B78" w:rsidRPr="00624B31" w:rsidRDefault="00305ED4" w:rsidP="006400FB">
      <w:pPr>
        <w:pStyle w:val="Bodytext20"/>
        <w:shd w:val="clear" w:color="auto" w:fill="auto"/>
        <w:spacing w:before="0" w:line="240" w:lineRule="auto"/>
        <w:ind w:firstLine="0"/>
        <w:rPr>
          <w:rFonts w:ascii="Times New Roman" w:hAnsi="Times New Roman" w:cs="Times New Roman"/>
          <w:sz w:val="24"/>
          <w:szCs w:val="24"/>
        </w:rPr>
      </w:pPr>
      <w:r w:rsidRPr="00624B31">
        <w:rPr>
          <w:rFonts w:ascii="Times New Roman" w:hAnsi="Times New Roman" w:cs="Times New Roman"/>
          <w:sz w:val="24"/>
          <w:szCs w:val="24"/>
        </w:rPr>
        <w:t>Figure 3: Predicted Probabilities: This graph provides the predicted probability of negative</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 xml:space="preserve">treatment, panel (a), and citation, panel (b) over the range of </w:t>
      </w:r>
      <w:r w:rsidRPr="00624B31">
        <w:rPr>
          <w:rFonts w:ascii="Times New Roman" w:hAnsi="Times New Roman" w:cs="Times New Roman"/>
          <w:i/>
          <w:sz w:val="24"/>
          <w:szCs w:val="24"/>
        </w:rPr>
        <w:t>Ideological Distance</w:t>
      </w:r>
      <w:r w:rsidRPr="00624B31">
        <w:rPr>
          <w:rFonts w:ascii="Times New Roman" w:hAnsi="Times New Roman" w:cs="Times New Roman"/>
          <w:sz w:val="24"/>
          <w:szCs w:val="24"/>
        </w:rPr>
        <w:t xml:space="preserve"> for each</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panel type. All other variables are held at their median conditional on not being ignored.</w:t>
      </w:r>
      <w:r w:rsidR="00B25B78" w:rsidRPr="00624B31">
        <w:rPr>
          <w:rFonts w:ascii="Times New Roman" w:hAnsi="Times New Roman" w:cs="Times New Roman"/>
          <w:sz w:val="24"/>
          <w:szCs w:val="24"/>
        </w:rPr>
        <w:t xml:space="preserve"> </w:t>
      </w:r>
    </w:p>
    <w:p w:rsidR="00B25B78" w:rsidRPr="00624B31" w:rsidRDefault="00B25B78" w:rsidP="006400FB">
      <w:pPr>
        <w:pStyle w:val="Bodytext20"/>
        <w:shd w:val="clear" w:color="auto" w:fill="auto"/>
        <w:spacing w:before="0" w:line="240" w:lineRule="auto"/>
        <w:ind w:firstLine="0"/>
        <w:rPr>
          <w:rFonts w:ascii="Times New Roman" w:hAnsi="Times New Roman" w:cs="Times New Roman"/>
          <w:sz w:val="24"/>
          <w:szCs w:val="24"/>
        </w:rPr>
      </w:pPr>
    </w:p>
    <w:p w:rsidR="00641B03" w:rsidRPr="00624B31" w:rsidRDefault="00641B03" w:rsidP="006400FB">
      <w:pPr>
        <w:pStyle w:val="Bodytext20"/>
        <w:shd w:val="clear" w:color="auto" w:fill="auto"/>
        <w:spacing w:before="0" w:line="240" w:lineRule="auto"/>
        <w:ind w:firstLine="0"/>
        <w:rPr>
          <w:rFonts w:ascii="Times New Roman" w:hAnsi="Times New Roman" w:cs="Times New Roman"/>
          <w:sz w:val="24"/>
          <w:szCs w:val="24"/>
        </w:rPr>
      </w:pPr>
    </w:p>
    <w:p w:rsidR="00B25B78" w:rsidRPr="00624B31" w:rsidRDefault="00837294" w:rsidP="006400FB">
      <w:pPr>
        <w:pStyle w:val="Bodytext20"/>
        <w:shd w:val="clear" w:color="auto" w:fill="auto"/>
        <w:spacing w:before="0" w:line="240" w:lineRule="auto"/>
        <w:ind w:firstLine="0"/>
        <w:jc w:val="center"/>
        <w:rPr>
          <w:rFonts w:ascii="Times New Roman" w:hAnsi="Times New Roman" w:cs="Times New Roman"/>
          <w:sz w:val="24"/>
          <w:szCs w:val="24"/>
        </w:rPr>
      </w:pPr>
      <w:r w:rsidRPr="00624B31">
        <w:rPr>
          <w:rFonts w:ascii="Times New Roman" w:hAnsi="Times New Roman" w:cs="Times New Roman"/>
          <w:noProof/>
          <w:sz w:val="24"/>
          <w:szCs w:val="24"/>
          <w:lang w:bidi="ar-SA"/>
        </w:rPr>
        <w:drawing>
          <wp:inline distT="0" distB="0" distL="0" distR="0">
            <wp:extent cx="2882041" cy="3900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citePA.pdf"/>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922722" cy="3955565"/>
                    </a:xfrm>
                    <a:prstGeom prst="rect">
                      <a:avLst/>
                    </a:prstGeom>
                  </pic:spPr>
                </pic:pic>
              </a:graphicData>
            </a:graphic>
          </wp:inline>
        </w:drawing>
      </w:r>
    </w:p>
    <w:p w:rsidR="00837294" w:rsidRPr="00624B31" w:rsidRDefault="00837294" w:rsidP="006400FB">
      <w:pPr>
        <w:pStyle w:val="Bodytext20"/>
        <w:shd w:val="clear" w:color="auto" w:fill="auto"/>
        <w:spacing w:before="0" w:line="240" w:lineRule="auto"/>
        <w:ind w:firstLine="0"/>
        <w:rPr>
          <w:rFonts w:ascii="Times New Roman" w:hAnsi="Times New Roman" w:cs="Times New Roman"/>
          <w:sz w:val="24"/>
          <w:szCs w:val="24"/>
        </w:rPr>
      </w:pPr>
    </w:p>
    <w:p w:rsidR="00305ED4" w:rsidRPr="00B25B78" w:rsidRDefault="00305ED4" w:rsidP="006400FB">
      <w:pPr>
        <w:pStyle w:val="Bodytext20"/>
        <w:shd w:val="clear" w:color="auto" w:fill="auto"/>
        <w:spacing w:before="0" w:line="240" w:lineRule="auto"/>
        <w:ind w:firstLine="0"/>
        <w:rPr>
          <w:rFonts w:ascii="Times New Roman" w:hAnsi="Times New Roman" w:cs="Times New Roman"/>
          <w:sz w:val="24"/>
          <w:szCs w:val="24"/>
        </w:rPr>
      </w:pPr>
      <w:r w:rsidRPr="00624B31">
        <w:rPr>
          <w:rFonts w:ascii="Times New Roman" w:hAnsi="Times New Roman" w:cs="Times New Roman"/>
          <w:sz w:val="24"/>
          <w:szCs w:val="24"/>
        </w:rPr>
        <w:t>Figure 4: E</w:t>
      </w:r>
      <w:r w:rsidR="00B25B78" w:rsidRPr="00624B31">
        <w:rPr>
          <w:rFonts w:ascii="Times New Roman" w:hAnsi="Times New Roman" w:cs="Times New Roman"/>
          <w:sz w:val="24"/>
          <w:szCs w:val="24"/>
        </w:rPr>
        <w:t>ff</w:t>
      </w:r>
      <w:r w:rsidRPr="00624B31">
        <w:rPr>
          <w:rFonts w:ascii="Times New Roman" w:hAnsi="Times New Roman" w:cs="Times New Roman"/>
          <w:sz w:val="24"/>
          <w:szCs w:val="24"/>
        </w:rPr>
        <w:t>ect of Precedent Authorship on Citation: This graph provides the predicted</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 xml:space="preserve">probability of citing a precedent written by the author, a </w:t>
      </w:r>
      <w:r w:rsidR="00B25B78" w:rsidRPr="00624B31">
        <w:rPr>
          <w:rFonts w:ascii="Times New Roman" w:hAnsi="Times New Roman" w:cs="Times New Roman"/>
          <w:sz w:val="24"/>
          <w:szCs w:val="24"/>
        </w:rPr>
        <w:t>non-author panel member, and an</w:t>
      </w:r>
      <w:r w:rsidRPr="00624B31">
        <w:rPr>
          <w:rFonts w:ascii="Times New Roman" w:hAnsi="Times New Roman" w:cs="Times New Roman"/>
          <w:sz w:val="24"/>
          <w:szCs w:val="24"/>
        </w:rPr>
        <w:t>other judge not sitting on the panel. All other variables are held at their median conditional</w:t>
      </w:r>
      <w:r w:rsidR="00B25B78" w:rsidRPr="00624B31">
        <w:rPr>
          <w:rFonts w:ascii="Times New Roman" w:hAnsi="Times New Roman" w:cs="Times New Roman"/>
          <w:sz w:val="24"/>
          <w:szCs w:val="24"/>
        </w:rPr>
        <w:t xml:space="preserve"> </w:t>
      </w:r>
      <w:r w:rsidRPr="00624B31">
        <w:rPr>
          <w:rFonts w:ascii="Times New Roman" w:hAnsi="Times New Roman" w:cs="Times New Roman"/>
          <w:sz w:val="24"/>
          <w:szCs w:val="24"/>
        </w:rPr>
        <w:t>on not being ignored. The bars provide the 95% con</w:t>
      </w:r>
      <w:r w:rsidR="00B25B78" w:rsidRPr="00624B31">
        <w:rPr>
          <w:rFonts w:ascii="Times New Roman" w:hAnsi="Times New Roman" w:cs="Times New Roman"/>
          <w:sz w:val="24"/>
          <w:szCs w:val="24"/>
        </w:rPr>
        <w:t>fi</w:t>
      </w:r>
      <w:r w:rsidRPr="00624B31">
        <w:rPr>
          <w:rFonts w:ascii="Times New Roman" w:hAnsi="Times New Roman" w:cs="Times New Roman"/>
          <w:sz w:val="24"/>
          <w:szCs w:val="24"/>
        </w:rPr>
        <w:t>dence interval for each estimate.</w:t>
      </w:r>
    </w:p>
    <w:p w:rsidR="00305ED4" w:rsidRPr="00B25B78" w:rsidRDefault="00305ED4" w:rsidP="006400FB">
      <w:pPr>
        <w:pStyle w:val="Bodytext20"/>
        <w:shd w:val="clear" w:color="auto" w:fill="auto"/>
        <w:spacing w:before="0" w:line="240" w:lineRule="auto"/>
        <w:ind w:firstLine="0"/>
        <w:jc w:val="left"/>
        <w:rPr>
          <w:rFonts w:ascii="Times New Roman" w:hAnsi="Times New Roman" w:cs="Times New Roman"/>
          <w:sz w:val="24"/>
          <w:szCs w:val="24"/>
        </w:rPr>
      </w:pPr>
    </w:p>
    <w:p w:rsidR="00305ED4" w:rsidRPr="00B25B78" w:rsidRDefault="00305ED4" w:rsidP="006400FB">
      <w:pPr>
        <w:pStyle w:val="Bodytext20"/>
        <w:shd w:val="clear" w:color="auto" w:fill="auto"/>
        <w:spacing w:before="0" w:line="240" w:lineRule="auto"/>
        <w:ind w:left="280" w:firstLine="0"/>
        <w:jc w:val="left"/>
        <w:rPr>
          <w:rFonts w:ascii="Times New Roman" w:hAnsi="Times New Roman" w:cs="Times New Roman"/>
          <w:b/>
          <w:sz w:val="24"/>
          <w:szCs w:val="24"/>
        </w:rPr>
      </w:pPr>
    </w:p>
    <w:p w:rsidR="00C3656E" w:rsidRPr="00B25B78" w:rsidRDefault="00C3656E" w:rsidP="006400FB">
      <w:pPr>
        <w:pStyle w:val="Bodytext20"/>
        <w:shd w:val="clear" w:color="auto" w:fill="auto"/>
        <w:spacing w:before="0" w:line="240" w:lineRule="auto"/>
        <w:ind w:left="280" w:firstLine="0"/>
        <w:jc w:val="left"/>
        <w:rPr>
          <w:rFonts w:ascii="Times New Roman" w:hAnsi="Times New Roman" w:cs="Times New Roman"/>
          <w:b/>
          <w:sz w:val="24"/>
          <w:szCs w:val="24"/>
        </w:rPr>
      </w:pPr>
    </w:p>
    <w:p w:rsidR="00B25B78" w:rsidRPr="00B25B78" w:rsidRDefault="00B25B78" w:rsidP="006400FB">
      <w:pPr>
        <w:rPr>
          <w:color w:val="auto"/>
        </w:rPr>
      </w:pPr>
    </w:p>
    <w:sectPr w:rsidR="00B25B78" w:rsidRPr="00B25B78" w:rsidSect="00E821E6">
      <w:footerReference w:type="default" r:id="rId13"/>
      <w:pgSz w:w="12240" w:h="15840"/>
      <w:pgMar w:top="1440" w:right="1440" w:bottom="1440" w:left="1440" w:header="0" w:footer="3" w:gutter="0"/>
      <w:pgNumType w:start="31"/>
      <w:noEndnote/>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678" w:rsidRDefault="002C1678">
      <w:r>
        <w:separator/>
      </w:r>
    </w:p>
  </w:endnote>
  <w:endnote w:type="continuationSeparator" w:id="0">
    <w:p w:rsidR="002C1678" w:rsidRDefault="002C167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Myungjo">
    <w:panose1 w:val="02000500000000000000"/>
    <w:charset w:val="81"/>
    <w:family w:val="auto"/>
    <w:pitch w:val="variable"/>
    <w:sig w:usb0="00000003" w:usb1="09060000" w:usb2="01002416" w:usb3="00000000" w:csb0="0008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altName w:val="Lucida Grande"/>
    <w:charset w:val="00"/>
    <w:family w:val="auto"/>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78" w:rsidRDefault="002C1678" w:rsidP="00C365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678" w:rsidRDefault="002C167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78" w:rsidRDefault="002C1678" w:rsidP="000B6A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C1678" w:rsidRDefault="002C167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78" w:rsidRPr="00C3656E" w:rsidRDefault="002C1678" w:rsidP="000B6ACE">
    <w:pPr>
      <w:pStyle w:val="Footer"/>
      <w:framePr w:wrap="none" w:vAnchor="text" w:hAnchor="margin" w:xAlign="center" w:y="1"/>
      <w:rPr>
        <w:rStyle w:val="PageNumber"/>
      </w:rPr>
    </w:pPr>
    <w:r w:rsidRPr="00C3656E">
      <w:rPr>
        <w:rStyle w:val="PageNumber"/>
        <w:rFonts w:ascii="Times New Roman" w:hAnsi="Times New Roman" w:cs="Times New Roman"/>
      </w:rPr>
      <w:fldChar w:fldCharType="begin"/>
    </w:r>
    <w:r w:rsidRPr="00C3656E">
      <w:rPr>
        <w:rStyle w:val="PageNumber"/>
        <w:rFonts w:ascii="Times New Roman" w:hAnsi="Times New Roman" w:cs="Times New Roman"/>
      </w:rPr>
      <w:instrText xml:space="preserve">PAGE  </w:instrText>
    </w:r>
    <w:r w:rsidRPr="00C3656E">
      <w:rPr>
        <w:rStyle w:val="PageNumber"/>
        <w:rFonts w:ascii="Times New Roman" w:hAnsi="Times New Roman" w:cs="Times New Roman"/>
      </w:rPr>
      <w:fldChar w:fldCharType="separate"/>
    </w:r>
    <w:r>
      <w:rPr>
        <w:rStyle w:val="PageNumber"/>
        <w:rFonts w:ascii="Times New Roman" w:hAnsi="Times New Roman" w:cs="Times New Roman"/>
        <w:noProof/>
      </w:rPr>
      <w:t>28</w:t>
    </w:r>
    <w:r w:rsidRPr="00C3656E">
      <w:rPr>
        <w:rStyle w:val="PageNumber"/>
        <w:rFonts w:ascii="Times New Roman" w:hAnsi="Times New Roman" w:cs="Times New Roman"/>
      </w:rPr>
      <w:fldChar w:fldCharType="end"/>
    </w:r>
  </w:p>
  <w:p w:rsidR="002C1678" w:rsidRDefault="002C1678"/>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78" w:rsidRDefault="002C1678">
    <w:pPr>
      <w:rPr>
        <w:sz w:val="2"/>
        <w:szCs w:val="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678" w:rsidRDefault="002C1678">
      <w:r>
        <w:separator/>
      </w:r>
    </w:p>
  </w:footnote>
  <w:footnote w:type="continuationSeparator" w:id="0">
    <w:p w:rsidR="002C1678" w:rsidRDefault="002C1678">
      <w:r>
        <w:continuationSeparator/>
      </w:r>
    </w:p>
  </w:footnote>
  <w:footnote w:id="1">
    <w:p w:rsidR="002C1678" w:rsidRPr="00CA261D" w:rsidRDefault="002C1678" w:rsidP="00DD04E3">
      <w:pPr>
        <w:pStyle w:val="FootnoteText"/>
        <w:spacing w:line="480" w:lineRule="auto"/>
        <w:ind w:firstLine="720"/>
        <w:jc w:val="both"/>
        <w:rPr>
          <w:rFonts w:ascii="Times New Roman" w:hAnsi="Times New Roman" w:cs="Times New Roman"/>
        </w:rPr>
      </w:pPr>
      <w:r w:rsidRPr="00CA261D">
        <w:rPr>
          <w:rStyle w:val="FootnoteReference"/>
          <w:rFonts w:ascii="Times New Roman" w:hAnsi="Times New Roman" w:cs="Times New Roman"/>
        </w:rPr>
        <w:footnoteRef/>
      </w:r>
      <w:r w:rsidRPr="006400FB">
        <w:rPr>
          <w:rFonts w:ascii="Times New Roman" w:hAnsi="Times New Roman" w:cs="Times New Roman"/>
        </w:rPr>
        <w:t>I follow the standard approach in the panel effects literature of using the party of the appointing president</w:t>
      </w:r>
      <w:r w:rsidRPr="00CA261D">
        <w:rPr>
          <w:rFonts w:ascii="Times New Roman" w:hAnsi="Times New Roman" w:cs="Times New Roman"/>
        </w:rPr>
        <w:t xml:space="preserve"> as a proxy for a judge’s political </w:t>
      </w:r>
      <w:r w:rsidRPr="006400FB">
        <w:rPr>
          <w:rFonts w:ascii="Times New Roman" w:hAnsi="Times New Roman" w:cs="Times New Roman"/>
        </w:rPr>
        <w:t>affiliation (</w:t>
      </w:r>
      <w:proofErr w:type="spellStart"/>
      <w:r w:rsidRPr="006400FB">
        <w:rPr>
          <w:rFonts w:ascii="Times New Roman" w:hAnsi="Times New Roman" w:cs="Times New Roman"/>
        </w:rPr>
        <w:t>Beim</w:t>
      </w:r>
      <w:proofErr w:type="spellEnd"/>
      <w:r w:rsidRPr="006400FB">
        <w:rPr>
          <w:rFonts w:ascii="Times New Roman" w:hAnsi="Times New Roman" w:cs="Times New Roman"/>
        </w:rPr>
        <w:t xml:space="preserve"> et al., 2014; </w:t>
      </w:r>
      <w:proofErr w:type="spellStart"/>
      <w:r w:rsidRPr="006400FB">
        <w:rPr>
          <w:rFonts w:ascii="Times New Roman" w:hAnsi="Times New Roman" w:cs="Times New Roman"/>
        </w:rPr>
        <w:t>Kastellec</w:t>
      </w:r>
      <w:proofErr w:type="spellEnd"/>
      <w:r w:rsidRPr="00CA261D">
        <w:rPr>
          <w:rFonts w:ascii="Times New Roman" w:hAnsi="Times New Roman" w:cs="Times New Roman"/>
        </w:rPr>
        <w:t xml:space="preserve">, 2011; Kim, 2009). </w:t>
      </w:r>
    </w:p>
  </w:footnote>
  <w:footnote w:id="2">
    <w:p w:rsidR="002C1678" w:rsidRPr="00CA261D" w:rsidRDefault="002C1678" w:rsidP="00DD04E3">
      <w:pPr>
        <w:pStyle w:val="FootnoteText"/>
        <w:spacing w:line="480" w:lineRule="auto"/>
        <w:ind w:firstLine="720"/>
        <w:jc w:val="both"/>
        <w:rPr>
          <w:rFonts w:ascii="Times New Roman" w:hAnsi="Times New Roman" w:cs="Times New Roman"/>
        </w:rPr>
      </w:pPr>
      <w:r w:rsidRPr="00CA261D">
        <w:rPr>
          <w:rStyle w:val="FootnoteReference"/>
          <w:rFonts w:ascii="Times New Roman" w:hAnsi="Times New Roman" w:cs="Times New Roman"/>
        </w:rPr>
        <w:footnoteRef/>
      </w:r>
      <w:r w:rsidRPr="00CA261D">
        <w:rPr>
          <w:rFonts w:ascii="Times New Roman" w:hAnsi="Times New Roman" w:cs="Times New Roman"/>
        </w:rPr>
        <w:t>Througho</w:t>
      </w:r>
      <w:r>
        <w:rPr>
          <w:rFonts w:ascii="Times New Roman" w:hAnsi="Times New Roman" w:cs="Times New Roman"/>
        </w:rPr>
        <w:t>ut this article I use “citation”</w:t>
      </w:r>
      <w:r w:rsidRPr="00CA261D">
        <w:rPr>
          <w:rFonts w:ascii="Times New Roman" w:hAnsi="Times New Roman" w:cs="Times New Roman"/>
        </w:rPr>
        <w:t xml:space="preserve"> to refer exclusively to </w:t>
      </w:r>
      <w:proofErr w:type="gramStart"/>
      <w:r w:rsidRPr="00CA261D">
        <w:rPr>
          <w:rFonts w:ascii="Times New Roman" w:hAnsi="Times New Roman" w:cs="Times New Roman"/>
        </w:rPr>
        <w:t>cites</w:t>
      </w:r>
      <w:proofErr w:type="gramEnd"/>
      <w:r w:rsidRPr="00CA261D">
        <w:rPr>
          <w:rFonts w:ascii="Times New Roman" w:hAnsi="Times New Roman" w:cs="Times New Roman"/>
        </w:rPr>
        <w:t xml:space="preserve"> that do not include a negative </w:t>
      </w:r>
      <w:r>
        <w:rPr>
          <w:rFonts w:ascii="Times New Roman" w:hAnsi="Times New Roman" w:cs="Times New Roman"/>
        </w:rPr>
        <w:t>treatment</w:t>
      </w:r>
      <w:r w:rsidRPr="00CA261D">
        <w:rPr>
          <w:rFonts w:ascii="Times New Roman" w:hAnsi="Times New Roman" w:cs="Times New Roman"/>
        </w:rPr>
        <w:t xml:space="preserve"> of the relevant precedent.</w:t>
      </w:r>
    </w:p>
    <w:p w:rsidR="002C1678" w:rsidRPr="00CA261D" w:rsidRDefault="002C1678" w:rsidP="00DD04E3">
      <w:pPr>
        <w:pStyle w:val="FootnoteText"/>
        <w:spacing w:line="480" w:lineRule="auto"/>
        <w:jc w:val="both"/>
        <w:rPr>
          <w:rFonts w:ascii="Times New Roman" w:hAnsi="Times New Roman" w:cs="Times New Roman"/>
        </w:rPr>
      </w:pPr>
    </w:p>
  </w:footnote>
  <w:footnote w:id="3">
    <w:p w:rsidR="002C1678" w:rsidRPr="00CA261D" w:rsidRDefault="002C1678" w:rsidP="00DD04E3">
      <w:pPr>
        <w:pStyle w:val="FootnoteText"/>
        <w:spacing w:line="480" w:lineRule="auto"/>
        <w:ind w:firstLine="720"/>
        <w:jc w:val="both"/>
        <w:rPr>
          <w:rFonts w:ascii="Times New Roman" w:hAnsi="Times New Roman" w:cs="Times New Roman"/>
        </w:rPr>
      </w:pPr>
      <w:r w:rsidRPr="00CA261D">
        <w:rPr>
          <w:rStyle w:val="FootnoteReference"/>
          <w:rFonts w:ascii="Times New Roman" w:hAnsi="Times New Roman" w:cs="Times New Roman"/>
        </w:rPr>
        <w:footnoteRef/>
      </w:r>
      <w:r w:rsidRPr="00CA261D">
        <w:rPr>
          <w:rFonts w:ascii="Times New Roman" w:hAnsi="Times New Roman" w:cs="Times New Roman"/>
        </w:rPr>
        <w:t>For example, Clark and Lauderdale (2010) use citations to generate a static measure of the ideological location of Supreme Court opinions. While the assumptions underlying their approach may be less applicable for intermediate appellate courts subject to hierarchical constraints, their project illustrates the value of exploring how the use of precedent sheds light on the formation of legal doctrine.</w:t>
      </w:r>
    </w:p>
  </w:footnote>
  <w:footnote w:id="4">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 xml:space="preserve">Following Hansford and </w:t>
      </w:r>
      <w:proofErr w:type="spellStart"/>
      <w:r w:rsidRPr="00DD04E3">
        <w:rPr>
          <w:rFonts w:ascii="Times New Roman" w:hAnsi="Times New Roman" w:cs="Times New Roman"/>
          <w:sz w:val="24"/>
          <w:szCs w:val="24"/>
        </w:rPr>
        <w:t>Spriggs</w:t>
      </w:r>
      <w:proofErr w:type="spellEnd"/>
      <w:r w:rsidRPr="00DD04E3">
        <w:rPr>
          <w:rFonts w:ascii="Times New Roman" w:hAnsi="Times New Roman" w:cs="Times New Roman"/>
          <w:sz w:val="24"/>
          <w:szCs w:val="24"/>
        </w:rPr>
        <w:t xml:space="preserve"> (2006), I refer</w:t>
      </w:r>
      <w:r w:rsidRPr="00CA261D">
        <w:rPr>
          <w:rFonts w:ascii="Times New Roman" w:hAnsi="Times New Roman" w:cs="Times New Roman"/>
          <w:sz w:val="24"/>
          <w:szCs w:val="24"/>
        </w:rPr>
        <w:t xml:space="preserve"> to the analyzed cases as treatment cases to distinguish them from precedents.</w:t>
      </w:r>
    </w:p>
  </w:footnote>
  <w:footnote w:id="5">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Unpublished opinions are excluded because they typically involve clea</w:t>
      </w:r>
      <w:r>
        <w:rPr>
          <w:rFonts w:ascii="Times New Roman" w:hAnsi="Times New Roman" w:cs="Times New Roman"/>
          <w:sz w:val="24"/>
          <w:szCs w:val="24"/>
        </w:rPr>
        <w:t>r-cut legal questions, are not</w:t>
      </w:r>
      <w:r w:rsidRPr="00DD04E3">
        <w:rPr>
          <w:rFonts w:ascii="Times New Roman" w:hAnsi="Times New Roman" w:cs="Times New Roman"/>
          <w:sz w:val="24"/>
          <w:szCs w:val="24"/>
        </w:rPr>
        <w:t xml:space="preserve"> binding precedent (</w:t>
      </w:r>
      <w:proofErr w:type="spellStart"/>
      <w:r w:rsidRPr="00DD04E3">
        <w:rPr>
          <w:rFonts w:ascii="Times New Roman" w:hAnsi="Times New Roman" w:cs="Times New Roman"/>
          <w:sz w:val="24"/>
          <w:szCs w:val="24"/>
        </w:rPr>
        <w:t>Berdej</w:t>
      </w:r>
      <w:r>
        <w:rPr>
          <w:rFonts w:ascii="Times New Roman" w:hAnsi="Times New Roman" w:cs="Times New Roman"/>
          <w:sz w:val="24"/>
          <w:szCs w:val="24"/>
        </w:rPr>
        <w:t>ó</w:t>
      </w:r>
      <w:proofErr w:type="spellEnd"/>
      <w:r w:rsidRPr="00DD04E3">
        <w:rPr>
          <w:rFonts w:ascii="Times New Roman" w:hAnsi="Times New Roman" w:cs="Times New Roman"/>
          <w:sz w:val="24"/>
          <w:szCs w:val="24"/>
        </w:rPr>
        <w:t>, 2013; Merritt, 1990), and are not readily available for the time-span covered here (</w:t>
      </w:r>
      <w:proofErr w:type="spellStart"/>
      <w:r w:rsidRPr="00DD04E3">
        <w:rPr>
          <w:rFonts w:ascii="Times New Roman" w:hAnsi="Times New Roman" w:cs="Times New Roman"/>
          <w:sz w:val="24"/>
          <w:szCs w:val="24"/>
        </w:rPr>
        <w:t>Sunstein</w:t>
      </w:r>
      <w:proofErr w:type="spellEnd"/>
      <w:r w:rsidRPr="00DD04E3">
        <w:rPr>
          <w:rFonts w:ascii="Times New Roman" w:hAnsi="Times New Roman" w:cs="Times New Roman"/>
          <w:sz w:val="24"/>
          <w:szCs w:val="24"/>
        </w:rPr>
        <w:t>, 2006).</w:t>
      </w:r>
    </w:p>
  </w:footnote>
  <w:footnote w:id="6">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Cases</w:t>
      </w:r>
      <w:r w:rsidRPr="00CA261D">
        <w:rPr>
          <w:rFonts w:ascii="Times New Roman" w:hAnsi="Times New Roman" w:cs="Times New Roman"/>
          <w:sz w:val="24"/>
          <w:szCs w:val="24"/>
        </w:rPr>
        <w:t xml:space="preserve"> are obtained from the eleven numbered geographical circuits and the D.C. Circuit.</w:t>
      </w:r>
    </w:p>
  </w:footnote>
  <w:footnote w:id="7">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I exclude the small number of opinions issued by a two-judge panel. Following previous research, I include panels with a visiting district or circuit judge (</w:t>
      </w:r>
      <w:proofErr w:type="spellStart"/>
      <w:r w:rsidRPr="00DD04E3">
        <w:rPr>
          <w:rFonts w:ascii="Times New Roman" w:hAnsi="Times New Roman" w:cs="Times New Roman"/>
          <w:sz w:val="24"/>
          <w:szCs w:val="24"/>
        </w:rPr>
        <w:t>Fischman</w:t>
      </w:r>
      <w:proofErr w:type="spellEnd"/>
      <w:r w:rsidRPr="00DD04E3">
        <w:rPr>
          <w:rFonts w:ascii="Times New Roman" w:hAnsi="Times New Roman" w:cs="Times New Roman"/>
          <w:sz w:val="24"/>
          <w:szCs w:val="24"/>
        </w:rPr>
        <w:t xml:space="preserve">, 2015; </w:t>
      </w:r>
      <w:proofErr w:type="spellStart"/>
      <w:r w:rsidRPr="00DD04E3">
        <w:rPr>
          <w:rFonts w:ascii="Times New Roman" w:hAnsi="Times New Roman" w:cs="Times New Roman"/>
          <w:sz w:val="24"/>
          <w:szCs w:val="24"/>
        </w:rPr>
        <w:t>Kastellec</w:t>
      </w:r>
      <w:proofErr w:type="spellEnd"/>
      <w:r w:rsidRPr="00DD04E3">
        <w:rPr>
          <w:rFonts w:ascii="Times New Roman" w:hAnsi="Times New Roman" w:cs="Times New Roman"/>
          <w:sz w:val="24"/>
          <w:szCs w:val="24"/>
        </w:rPr>
        <w:t>, 2007; Kim, 2009). Exc</w:t>
      </w:r>
      <w:r w:rsidRPr="00CA261D">
        <w:rPr>
          <w:rFonts w:ascii="Times New Roman" w:hAnsi="Times New Roman" w:cs="Times New Roman"/>
          <w:sz w:val="24"/>
          <w:szCs w:val="24"/>
        </w:rPr>
        <w:t>luding opinions authored by such judges does not materially influence the results.</w:t>
      </w:r>
    </w:p>
  </w:footnote>
  <w:footnote w:id="8">
    <w:p w:rsidR="002C1678" w:rsidRPr="00CA261D" w:rsidRDefault="002C1678" w:rsidP="00DD3577">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CA261D">
        <w:rPr>
          <w:rFonts w:ascii="Times New Roman" w:hAnsi="Times New Roman" w:cs="Times New Roman"/>
          <w:sz w:val="24"/>
          <w:szCs w:val="24"/>
        </w:rPr>
        <w:t>When the Fifth Circuit was split in 1981, the judges agreed that all existing precedents from the old Fifth Circuit would be binding in the newly created Eleventh Circuit (Barrow and Walker, 1988: 245). Consequently, precedents from the old Fifth Circuit are in the choice set of Eleventh Circuit cases.</w:t>
      </w:r>
    </w:p>
  </w:footnote>
  <w:footnote w:id="9">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Moreover,</w:t>
      </w:r>
      <w:r w:rsidRPr="00CA261D">
        <w:rPr>
          <w:rFonts w:ascii="Times New Roman" w:hAnsi="Times New Roman" w:cs="Times New Roman"/>
          <w:sz w:val="24"/>
          <w:szCs w:val="24"/>
        </w:rPr>
        <w:t xml:space="preserve"> this decision is not driving the results. An alternative approach of interacting the author’s ideological distance to the precedent with a continuous measure of her ideological distance to the most distant member of the panel leads to very similar conclusions.</w:t>
      </w:r>
    </w:p>
  </w:footnote>
  <w:footnote w:id="10">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JCS scores are based on the ideology of the political elites who appointed a judge and are located on a scale from -1 (liberal) to 1 (conservative) (Epstein et al., 2007; Giles et al., 2001; Poole, 1998).</w:t>
      </w:r>
    </w:p>
  </w:footnote>
  <w:footnote w:id="11">
    <w:p w:rsidR="002C1678" w:rsidRPr="00CA261D" w:rsidRDefault="002C1678" w:rsidP="00DD04E3">
      <w:pPr>
        <w:pStyle w:val="FootnoteText"/>
        <w:spacing w:line="480" w:lineRule="auto"/>
        <w:ind w:firstLine="720"/>
        <w:rPr>
          <w:rFonts w:ascii="Times New Roman" w:hAnsi="Times New Roman" w:cs="Times New Roman"/>
        </w:rPr>
      </w:pPr>
      <w:r w:rsidRPr="00CA261D">
        <w:rPr>
          <w:rStyle w:val="FootnoteReference"/>
          <w:rFonts w:ascii="Times New Roman" w:hAnsi="Times New Roman" w:cs="Times New Roman"/>
        </w:rPr>
        <w:footnoteRef/>
      </w:r>
      <w:r w:rsidRPr="00CA261D">
        <w:rPr>
          <w:rFonts w:ascii="Times New Roman" w:hAnsi="Times New Roman" w:cs="Times New Roman"/>
        </w:rPr>
        <w:t>Vitality of a precedent is measured as the number of positive treatments minus the</w:t>
      </w:r>
      <w:r>
        <w:rPr>
          <w:rFonts w:ascii="Times New Roman" w:hAnsi="Times New Roman" w:cs="Times New Roman"/>
        </w:rPr>
        <w:t xml:space="preserve"> </w:t>
      </w:r>
      <w:r w:rsidRPr="00CA261D">
        <w:rPr>
          <w:rFonts w:ascii="Times New Roman" w:hAnsi="Times New Roman" w:cs="Times New Roman"/>
        </w:rPr>
        <w:t xml:space="preserve">number of negative treatments (at the time of the treatment case) (Hansford and </w:t>
      </w:r>
      <w:proofErr w:type="spellStart"/>
      <w:r w:rsidRPr="00CA261D">
        <w:rPr>
          <w:rFonts w:ascii="Times New Roman" w:hAnsi="Times New Roman" w:cs="Times New Roman"/>
        </w:rPr>
        <w:t>Spriggs</w:t>
      </w:r>
      <w:proofErr w:type="spellEnd"/>
      <w:r w:rsidRPr="00CA261D">
        <w:rPr>
          <w:rFonts w:ascii="Times New Roman" w:hAnsi="Times New Roman" w:cs="Times New Roman"/>
        </w:rPr>
        <w:t>,</w:t>
      </w:r>
      <w:r>
        <w:rPr>
          <w:rFonts w:ascii="Times New Roman" w:hAnsi="Times New Roman" w:cs="Times New Roman"/>
        </w:rPr>
        <w:t xml:space="preserve"> </w:t>
      </w:r>
      <w:r w:rsidRPr="00CA261D">
        <w:rPr>
          <w:rFonts w:ascii="Times New Roman" w:hAnsi="Times New Roman" w:cs="Times New Roman"/>
        </w:rPr>
        <w:t>2006).</w:t>
      </w:r>
    </w:p>
  </w:footnote>
  <w:footnote w:id="12">
    <w:p w:rsidR="002C1678" w:rsidRPr="00CA261D" w:rsidRDefault="002C1678" w:rsidP="00DD04E3">
      <w:pPr>
        <w:pStyle w:val="Footnote0"/>
        <w:shd w:val="clear" w:color="auto" w:fill="auto"/>
        <w:spacing w:line="480" w:lineRule="auto"/>
        <w:ind w:firstLine="720"/>
        <w:rPr>
          <w:rFonts w:ascii="Times New Roman" w:hAnsi="Times New Roman" w:cs="Times New Roman"/>
          <w:sz w:val="24"/>
          <w:szCs w:val="24"/>
        </w:rPr>
      </w:pPr>
      <w:r w:rsidRPr="00DD04E3">
        <w:rPr>
          <w:rFonts w:ascii="Times New Roman" w:hAnsi="Times New Roman" w:cs="Times New Roman"/>
          <w:sz w:val="24"/>
          <w:szCs w:val="24"/>
          <w:vertAlign w:val="superscript"/>
        </w:rPr>
        <w:footnoteRef/>
      </w:r>
      <w:r w:rsidRPr="00DD04E3">
        <w:rPr>
          <w:rFonts w:ascii="Times New Roman" w:hAnsi="Times New Roman" w:cs="Times New Roman"/>
          <w:sz w:val="24"/>
          <w:szCs w:val="24"/>
        </w:rPr>
        <w:t>This variable is the average number of cases terminated per active judge in the circuit and year of the treatment case. The Federal Court Management Statistics are available online at http://www.uscourts.gov/Statistics/FederalCourtManagementStatistics/FederalCourtManagementStatistics_Archive.aspx.</w:t>
      </w:r>
    </w:p>
  </w:footnote>
  <w:footnote w:id="13">
    <w:p w:rsidR="002C1678" w:rsidRPr="00CA261D" w:rsidRDefault="002C1678" w:rsidP="009E21CC">
      <w:pPr>
        <w:pStyle w:val="Footnote0"/>
        <w:shd w:val="clear" w:color="auto" w:fill="auto"/>
        <w:spacing w:line="480" w:lineRule="auto"/>
        <w:ind w:firstLine="720"/>
        <w:rPr>
          <w:rFonts w:ascii="Times New Roman" w:hAnsi="Times New Roman" w:cs="Times New Roman"/>
          <w:sz w:val="24"/>
          <w:szCs w:val="24"/>
        </w:rPr>
      </w:pPr>
      <w:r w:rsidRPr="00DB7FD1">
        <w:rPr>
          <w:rFonts w:ascii="Times New Roman" w:hAnsi="Times New Roman" w:cs="Times New Roman"/>
          <w:sz w:val="24"/>
          <w:szCs w:val="24"/>
          <w:vertAlign w:val="superscript"/>
        </w:rPr>
        <w:footnoteRef/>
      </w:r>
      <w:r w:rsidRPr="00DB7FD1">
        <w:rPr>
          <w:rFonts w:ascii="Times New Roman" w:hAnsi="Times New Roman" w:cs="Times New Roman"/>
          <w:sz w:val="24"/>
          <w:szCs w:val="24"/>
        </w:rPr>
        <w:t>All discussion</w:t>
      </w:r>
      <w:r w:rsidRPr="00CA261D">
        <w:rPr>
          <w:rFonts w:ascii="Times New Roman" w:hAnsi="Times New Roman" w:cs="Times New Roman"/>
          <w:sz w:val="24"/>
          <w:szCs w:val="24"/>
        </w:rPr>
        <w:t xml:space="preserve"> of statistical significance is at the 0.05 </w:t>
      </w:r>
      <w:proofErr w:type="gramStart"/>
      <w:r w:rsidRPr="00CA261D">
        <w:rPr>
          <w:rFonts w:ascii="Times New Roman" w:hAnsi="Times New Roman" w:cs="Times New Roman"/>
          <w:sz w:val="24"/>
          <w:szCs w:val="24"/>
        </w:rPr>
        <w:t>level</w:t>
      </w:r>
      <w:proofErr w:type="gramEnd"/>
      <w:r w:rsidRPr="00CA261D">
        <w:rPr>
          <w:rFonts w:ascii="Times New Roman" w:hAnsi="Times New Roman" w:cs="Times New Roman"/>
          <w:sz w:val="24"/>
          <w:szCs w:val="24"/>
        </w:rPr>
        <w:t>.</w:t>
      </w:r>
    </w:p>
  </w:footnote>
  <w:footnote w:id="14">
    <w:p w:rsidR="002C1678" w:rsidRPr="005965D5" w:rsidRDefault="002C1678" w:rsidP="00DB7FD1">
      <w:pPr>
        <w:pStyle w:val="Footnote0"/>
        <w:shd w:val="clear" w:color="auto" w:fill="auto"/>
        <w:spacing w:line="480" w:lineRule="auto"/>
        <w:ind w:firstLine="720"/>
        <w:rPr>
          <w:rFonts w:ascii="Times New Roman" w:hAnsi="Times New Roman" w:cs="Times New Roman"/>
          <w:sz w:val="24"/>
          <w:szCs w:val="24"/>
        </w:rPr>
      </w:pPr>
      <w:r w:rsidRPr="00DB7FD1">
        <w:rPr>
          <w:rFonts w:ascii="Times New Roman" w:hAnsi="Times New Roman" w:cs="Times New Roman"/>
          <w:sz w:val="24"/>
          <w:szCs w:val="24"/>
          <w:vertAlign w:val="superscript"/>
        </w:rPr>
        <w:footnoteRef/>
      </w:r>
      <w:r w:rsidRPr="005965D5">
        <w:rPr>
          <w:rFonts w:ascii="Times New Roman" w:hAnsi="Times New Roman" w:cs="Times New Roman"/>
          <w:sz w:val="24"/>
          <w:szCs w:val="24"/>
        </w:rPr>
        <w:t xml:space="preserve">Some research in other contexts finds that self-citation varies by gender </w:t>
      </w:r>
      <w:r w:rsidRPr="005965D5">
        <w:rPr>
          <w:rStyle w:val="FootnoteItalic"/>
          <w:rFonts w:ascii="Times New Roman" w:hAnsi="Times New Roman" w:cs="Times New Roman"/>
          <w:sz w:val="24"/>
          <w:szCs w:val="24"/>
        </w:rPr>
        <w:t>(See, e.g.,</w:t>
      </w:r>
      <w:r w:rsidRPr="005965D5">
        <w:rPr>
          <w:rFonts w:ascii="Times New Roman" w:hAnsi="Times New Roman" w:cs="Times New Roman"/>
          <w:sz w:val="24"/>
          <w:szCs w:val="24"/>
        </w:rPr>
        <w:t xml:space="preserve"> </w:t>
      </w:r>
      <w:proofErr w:type="spellStart"/>
      <w:r w:rsidRPr="005965D5">
        <w:rPr>
          <w:rFonts w:ascii="Times New Roman" w:hAnsi="Times New Roman" w:cs="Times New Roman"/>
          <w:sz w:val="24"/>
          <w:szCs w:val="24"/>
        </w:rPr>
        <w:t>Maliniak</w:t>
      </w:r>
      <w:proofErr w:type="spellEnd"/>
      <w:r w:rsidRPr="005965D5">
        <w:rPr>
          <w:rFonts w:ascii="Times New Roman" w:hAnsi="Times New Roman" w:cs="Times New Roman"/>
          <w:sz w:val="24"/>
          <w:szCs w:val="24"/>
        </w:rPr>
        <w:t xml:space="preserve"> et </w:t>
      </w:r>
      <w:r w:rsidRPr="005965D5">
        <w:rPr>
          <w:rStyle w:val="FootnoteSpacing-1pt"/>
          <w:rFonts w:ascii="Times New Roman" w:hAnsi="Times New Roman" w:cs="Times New Roman"/>
          <w:spacing w:val="0"/>
          <w:sz w:val="24"/>
          <w:szCs w:val="24"/>
        </w:rPr>
        <w:t>al., 2013).</w:t>
      </w:r>
      <w:r w:rsidRPr="005965D5">
        <w:rPr>
          <w:rFonts w:ascii="Times New Roman" w:hAnsi="Times New Roman" w:cs="Times New Roman"/>
          <w:sz w:val="24"/>
          <w:szCs w:val="24"/>
        </w:rPr>
        <w:t xml:space="preserve"> There is no evidence of such gender differences here.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3"/>
  <w:proofState w:spelling="clean" w:grammar="clean"/>
  <w:stylePaneFormatFilter w:val="0004"/>
  <w:revisionView w:markup="0" w:insDel="0" w:formatting="0"/>
  <w:doNotTrackMoves/>
  <w:defaultTabStop w:val="720"/>
  <w:drawingGridHorizontalSpacing w:val="12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C95181"/>
    <w:rsid w:val="000241C8"/>
    <w:rsid w:val="000573F2"/>
    <w:rsid w:val="000632C6"/>
    <w:rsid w:val="000A54AB"/>
    <w:rsid w:val="000B6ACE"/>
    <w:rsid w:val="000C1EC5"/>
    <w:rsid w:val="000D76FA"/>
    <w:rsid w:val="00105698"/>
    <w:rsid w:val="00126D5D"/>
    <w:rsid w:val="001D1C4D"/>
    <w:rsid w:val="00244523"/>
    <w:rsid w:val="0025374A"/>
    <w:rsid w:val="002625D9"/>
    <w:rsid w:val="002C1678"/>
    <w:rsid w:val="002F49E2"/>
    <w:rsid w:val="003002A5"/>
    <w:rsid w:val="00305ED4"/>
    <w:rsid w:val="00305F83"/>
    <w:rsid w:val="00315FD9"/>
    <w:rsid w:val="00321D06"/>
    <w:rsid w:val="003818BE"/>
    <w:rsid w:val="003B57DA"/>
    <w:rsid w:val="00403314"/>
    <w:rsid w:val="00404372"/>
    <w:rsid w:val="00450155"/>
    <w:rsid w:val="004A670D"/>
    <w:rsid w:val="004F1F62"/>
    <w:rsid w:val="00560638"/>
    <w:rsid w:val="00561DC6"/>
    <w:rsid w:val="0058566B"/>
    <w:rsid w:val="005965D5"/>
    <w:rsid w:val="005A1F54"/>
    <w:rsid w:val="00624B31"/>
    <w:rsid w:val="006400FB"/>
    <w:rsid w:val="00641B03"/>
    <w:rsid w:val="00645751"/>
    <w:rsid w:val="00672C98"/>
    <w:rsid w:val="00685D84"/>
    <w:rsid w:val="006876B5"/>
    <w:rsid w:val="006A7E78"/>
    <w:rsid w:val="006B4607"/>
    <w:rsid w:val="006C2AA7"/>
    <w:rsid w:val="0074799E"/>
    <w:rsid w:val="007A5DDA"/>
    <w:rsid w:val="00837294"/>
    <w:rsid w:val="00845B01"/>
    <w:rsid w:val="00852EC2"/>
    <w:rsid w:val="00945776"/>
    <w:rsid w:val="009613F5"/>
    <w:rsid w:val="009A2E0E"/>
    <w:rsid w:val="009D3DE9"/>
    <w:rsid w:val="009E21CC"/>
    <w:rsid w:val="00A23CDA"/>
    <w:rsid w:val="00AD521B"/>
    <w:rsid w:val="00B0179E"/>
    <w:rsid w:val="00B15D5B"/>
    <w:rsid w:val="00B25B78"/>
    <w:rsid w:val="00B33677"/>
    <w:rsid w:val="00B73EFC"/>
    <w:rsid w:val="00B81607"/>
    <w:rsid w:val="00B90DEA"/>
    <w:rsid w:val="00BC2208"/>
    <w:rsid w:val="00C3656E"/>
    <w:rsid w:val="00C4440D"/>
    <w:rsid w:val="00C45B6D"/>
    <w:rsid w:val="00C95181"/>
    <w:rsid w:val="00CA261D"/>
    <w:rsid w:val="00CB61BA"/>
    <w:rsid w:val="00D361DF"/>
    <w:rsid w:val="00D4431B"/>
    <w:rsid w:val="00D574E4"/>
    <w:rsid w:val="00DB7FD1"/>
    <w:rsid w:val="00DC67BD"/>
    <w:rsid w:val="00DD04E3"/>
    <w:rsid w:val="00DD3577"/>
    <w:rsid w:val="00DF19B8"/>
    <w:rsid w:val="00E72C6E"/>
    <w:rsid w:val="00E821E6"/>
    <w:rsid w:val="00EA0DEF"/>
    <w:rsid w:val="00EC64D5"/>
    <w:rsid w:val="00F23CE0"/>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0" w:defSemiHidden="0" w:defUnhideWhenUsed="0" w:defQFormat="0" w:count="276">
    <w:lsdException w:name="Normal (Web)" w:uiPriority="99"/>
  </w:latentStyles>
  <w:style w:type="paragraph" w:default="1" w:styleId="Normal">
    <w:name w:val="Normal"/>
    <w:rsid w:val="00305F83"/>
    <w:rPr>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305F83"/>
    <w:rPr>
      <w:color w:val="000080"/>
      <w:u w:val="single"/>
    </w:rPr>
  </w:style>
  <w:style w:type="character" w:customStyle="1" w:styleId="Footnote">
    <w:name w:val="Footnote_"/>
    <w:basedOn w:val="DefaultParagraphFont"/>
    <w:link w:val="Footnote0"/>
    <w:rsid w:val="00305F83"/>
    <w:rPr>
      <w:rFonts w:ascii="AppleMyungjo" w:eastAsia="AppleMyungjo" w:hAnsi="AppleMyungjo" w:cs="AppleMyungjo"/>
      <w:b w:val="0"/>
      <w:bCs w:val="0"/>
      <w:i w:val="0"/>
      <w:iCs w:val="0"/>
      <w:smallCaps w:val="0"/>
      <w:strike w:val="0"/>
      <w:sz w:val="22"/>
      <w:szCs w:val="22"/>
      <w:u w:val="none"/>
    </w:rPr>
  </w:style>
  <w:style w:type="character" w:customStyle="1" w:styleId="Footnote2">
    <w:name w:val="Footnote (2)_"/>
    <w:basedOn w:val="DefaultParagraphFont"/>
    <w:link w:val="Footnote20"/>
    <w:rsid w:val="00305F83"/>
    <w:rPr>
      <w:rFonts w:ascii="AppleMyungjo" w:eastAsia="AppleMyungjo" w:hAnsi="AppleMyungjo" w:cs="AppleMyungjo"/>
      <w:b w:val="0"/>
      <w:bCs w:val="0"/>
      <w:i w:val="0"/>
      <w:iCs w:val="0"/>
      <w:smallCaps w:val="0"/>
      <w:strike w:val="0"/>
      <w:sz w:val="22"/>
      <w:szCs w:val="22"/>
      <w:u w:val="none"/>
    </w:rPr>
  </w:style>
  <w:style w:type="character" w:customStyle="1" w:styleId="Footnote3">
    <w:name w:val="Footnote (3)_"/>
    <w:basedOn w:val="DefaultParagraphFont"/>
    <w:link w:val="Footnote30"/>
    <w:rsid w:val="00305F83"/>
    <w:rPr>
      <w:rFonts w:ascii="Arial" w:eastAsia="Arial" w:hAnsi="Arial" w:cs="Arial"/>
      <w:b w:val="0"/>
      <w:bCs w:val="0"/>
      <w:i w:val="0"/>
      <w:iCs w:val="0"/>
      <w:smallCaps w:val="0"/>
      <w:strike w:val="0"/>
      <w:w w:val="90"/>
      <w:sz w:val="22"/>
      <w:szCs w:val="22"/>
      <w:u w:val="none"/>
    </w:rPr>
  </w:style>
  <w:style w:type="character" w:customStyle="1" w:styleId="FootnoteItalic">
    <w:name w:val="Footnote + Italic"/>
    <w:basedOn w:val="Footnote"/>
    <w:rsid w:val="00305F83"/>
    <w:rPr>
      <w:rFonts w:ascii="AppleMyungjo" w:eastAsia="AppleMyungjo" w:hAnsi="AppleMyungjo" w:cs="AppleMyungjo"/>
      <w:b w:val="0"/>
      <w:bCs w:val="0"/>
      <w:i/>
      <w:iCs/>
      <w:smallCaps w:val="0"/>
      <w:strike w:val="0"/>
      <w:color w:val="000000"/>
      <w:spacing w:val="0"/>
      <w:w w:val="100"/>
      <w:position w:val="0"/>
      <w:sz w:val="22"/>
      <w:szCs w:val="22"/>
      <w:u w:val="none"/>
      <w:lang w:val="en-US" w:eastAsia="en-US" w:bidi="en-US"/>
    </w:rPr>
  </w:style>
  <w:style w:type="character" w:customStyle="1" w:styleId="FootnoteSpacing-1pt">
    <w:name w:val="Footnote + Spacing -1 pt"/>
    <w:basedOn w:val="Footnote"/>
    <w:rsid w:val="00305F83"/>
    <w:rPr>
      <w:rFonts w:ascii="AppleMyungjo" w:eastAsia="AppleMyungjo" w:hAnsi="AppleMyungjo" w:cs="AppleMyungjo"/>
      <w:b w:val="0"/>
      <w:bCs w:val="0"/>
      <w:i w:val="0"/>
      <w:iCs w:val="0"/>
      <w:smallCaps w:val="0"/>
      <w:strike w:val="0"/>
      <w:color w:val="000000"/>
      <w:spacing w:val="-20"/>
      <w:w w:val="100"/>
      <w:position w:val="0"/>
      <w:sz w:val="22"/>
      <w:szCs w:val="22"/>
      <w:u w:val="none"/>
      <w:lang w:val="en-US" w:eastAsia="en-US" w:bidi="en-US"/>
    </w:rPr>
  </w:style>
  <w:style w:type="character" w:customStyle="1" w:styleId="Heading1">
    <w:name w:val="Heading #1_"/>
    <w:basedOn w:val="DefaultParagraphFont"/>
    <w:link w:val="Heading10"/>
    <w:rsid w:val="00305F83"/>
    <w:rPr>
      <w:rFonts w:ascii="AppleMyungjo" w:eastAsia="AppleMyungjo" w:hAnsi="AppleMyungjo" w:cs="AppleMyungjo"/>
      <w:b w:val="0"/>
      <w:bCs w:val="0"/>
      <w:i w:val="0"/>
      <w:iCs w:val="0"/>
      <w:smallCaps w:val="0"/>
      <w:strike w:val="0"/>
      <w:sz w:val="36"/>
      <w:szCs w:val="36"/>
      <w:u w:val="none"/>
    </w:rPr>
  </w:style>
  <w:style w:type="character" w:customStyle="1" w:styleId="Bodytext3">
    <w:name w:val="Body text (3)_"/>
    <w:basedOn w:val="DefaultParagraphFont"/>
    <w:link w:val="Bodytext30"/>
    <w:rsid w:val="00305F83"/>
    <w:rPr>
      <w:rFonts w:ascii="AppleMyungjo" w:eastAsia="AppleMyungjo" w:hAnsi="AppleMyungjo" w:cs="AppleMyungjo"/>
      <w:b w:val="0"/>
      <w:bCs w:val="0"/>
      <w:i w:val="0"/>
      <w:iCs w:val="0"/>
      <w:smallCaps w:val="0"/>
      <w:strike w:val="0"/>
      <w:sz w:val="26"/>
      <w:szCs w:val="26"/>
      <w:u w:val="none"/>
    </w:rPr>
  </w:style>
  <w:style w:type="character" w:customStyle="1" w:styleId="Bodytext2">
    <w:name w:val="Body text (2)_"/>
    <w:basedOn w:val="DefaultParagraphFont"/>
    <w:link w:val="Bodytext20"/>
    <w:rsid w:val="00305F83"/>
    <w:rPr>
      <w:rFonts w:ascii="AppleMyungjo" w:eastAsia="AppleMyungjo" w:hAnsi="AppleMyungjo" w:cs="AppleMyungjo"/>
      <w:b w:val="0"/>
      <w:bCs w:val="0"/>
      <w:i w:val="0"/>
      <w:iCs w:val="0"/>
      <w:smallCaps w:val="0"/>
      <w:strike w:val="0"/>
      <w:sz w:val="22"/>
      <w:szCs w:val="22"/>
      <w:u w:val="none"/>
    </w:rPr>
  </w:style>
  <w:style w:type="character" w:customStyle="1" w:styleId="Heading2">
    <w:name w:val="Heading #2_"/>
    <w:basedOn w:val="DefaultParagraphFont"/>
    <w:link w:val="Heading20"/>
    <w:rsid w:val="00305F83"/>
    <w:rPr>
      <w:rFonts w:ascii="AppleMyungjo" w:eastAsia="AppleMyungjo" w:hAnsi="AppleMyungjo" w:cs="AppleMyungjo"/>
      <w:b w:val="0"/>
      <w:bCs w:val="0"/>
      <w:i w:val="0"/>
      <w:iCs w:val="0"/>
      <w:smallCaps w:val="0"/>
      <w:strike w:val="0"/>
      <w:sz w:val="32"/>
      <w:szCs w:val="32"/>
      <w:u w:val="none"/>
    </w:rPr>
  </w:style>
  <w:style w:type="character" w:customStyle="1" w:styleId="Bodytext2Italic">
    <w:name w:val="Body text (2) + Italic"/>
    <w:basedOn w:val="Bodytext2"/>
    <w:rsid w:val="00305F83"/>
    <w:rPr>
      <w:rFonts w:ascii="AppleMyungjo" w:eastAsia="AppleMyungjo" w:hAnsi="AppleMyungjo" w:cs="AppleMyungjo"/>
      <w:b w:val="0"/>
      <w:bCs w:val="0"/>
      <w:i/>
      <w:iCs/>
      <w:smallCaps w:val="0"/>
      <w:strike w:val="0"/>
      <w:color w:val="000000"/>
      <w:spacing w:val="0"/>
      <w:w w:val="100"/>
      <w:position w:val="0"/>
      <w:sz w:val="22"/>
      <w:szCs w:val="22"/>
      <w:u w:val="none"/>
      <w:lang w:val="en-US" w:eastAsia="en-US" w:bidi="en-US"/>
    </w:rPr>
  </w:style>
  <w:style w:type="character" w:customStyle="1" w:styleId="Heading3">
    <w:name w:val="Heading #3_"/>
    <w:basedOn w:val="DefaultParagraphFont"/>
    <w:link w:val="Heading30"/>
    <w:rsid w:val="00305F83"/>
    <w:rPr>
      <w:rFonts w:ascii="AppleMyungjo" w:eastAsia="AppleMyungjo" w:hAnsi="AppleMyungjo" w:cs="AppleMyungjo"/>
      <w:b w:val="0"/>
      <w:bCs w:val="0"/>
      <w:i w:val="0"/>
      <w:iCs w:val="0"/>
      <w:smallCaps w:val="0"/>
      <w:strike w:val="0"/>
      <w:sz w:val="22"/>
      <w:szCs w:val="22"/>
      <w:u w:val="none"/>
    </w:rPr>
  </w:style>
  <w:style w:type="character" w:customStyle="1" w:styleId="Headerorfooter">
    <w:name w:val="Header or footer_"/>
    <w:basedOn w:val="DefaultParagraphFont"/>
    <w:link w:val="Headerorfooter0"/>
    <w:rsid w:val="00305F83"/>
    <w:rPr>
      <w:rFonts w:ascii="AppleMyungjo" w:eastAsia="AppleMyungjo" w:hAnsi="AppleMyungjo" w:cs="AppleMyungjo"/>
      <w:b w:val="0"/>
      <w:bCs w:val="0"/>
      <w:i w:val="0"/>
      <w:iCs w:val="0"/>
      <w:smallCaps w:val="0"/>
      <w:strike w:val="0"/>
      <w:spacing w:val="-20"/>
      <w:sz w:val="22"/>
      <w:szCs w:val="22"/>
      <w:u w:val="none"/>
    </w:rPr>
  </w:style>
  <w:style w:type="character" w:customStyle="1" w:styleId="Headerorfooter1">
    <w:name w:val="Header or footer"/>
    <w:basedOn w:val="Headerorfooter"/>
    <w:rsid w:val="00305F83"/>
    <w:rPr>
      <w:rFonts w:ascii="AppleMyungjo" w:eastAsia="AppleMyungjo" w:hAnsi="AppleMyungjo" w:cs="AppleMyungjo"/>
      <w:b w:val="0"/>
      <w:bCs w:val="0"/>
      <w:i w:val="0"/>
      <w:iCs w:val="0"/>
      <w:smallCaps w:val="0"/>
      <w:strike w:val="0"/>
      <w:color w:val="000000"/>
      <w:spacing w:val="-20"/>
      <w:w w:val="100"/>
      <w:position w:val="0"/>
      <w:sz w:val="22"/>
      <w:szCs w:val="22"/>
      <w:u w:val="none"/>
      <w:lang w:val="en-US" w:eastAsia="en-US" w:bidi="en-US"/>
    </w:rPr>
  </w:style>
  <w:style w:type="character" w:customStyle="1" w:styleId="Bodytext4">
    <w:name w:val="Body text (4)_"/>
    <w:basedOn w:val="DefaultParagraphFont"/>
    <w:link w:val="Bodytext40"/>
    <w:rsid w:val="00305F83"/>
    <w:rPr>
      <w:rFonts w:ascii="AppleMyungjo" w:eastAsia="AppleMyungjo" w:hAnsi="AppleMyungjo" w:cs="AppleMyungjo"/>
      <w:b/>
      <w:bCs/>
      <w:i w:val="0"/>
      <w:iCs w:val="0"/>
      <w:smallCaps w:val="0"/>
      <w:strike w:val="0"/>
      <w:sz w:val="22"/>
      <w:szCs w:val="22"/>
      <w:u w:val="none"/>
    </w:rPr>
  </w:style>
  <w:style w:type="character" w:customStyle="1" w:styleId="Bodytext5">
    <w:name w:val="Body text (5)_"/>
    <w:basedOn w:val="DefaultParagraphFont"/>
    <w:link w:val="Bodytext50"/>
    <w:rsid w:val="00305F83"/>
    <w:rPr>
      <w:rFonts w:ascii="AppleMyungjo" w:eastAsia="AppleMyungjo" w:hAnsi="AppleMyungjo" w:cs="AppleMyungjo"/>
      <w:b w:val="0"/>
      <w:bCs w:val="0"/>
      <w:i/>
      <w:iCs/>
      <w:smallCaps w:val="0"/>
      <w:strike w:val="0"/>
      <w:sz w:val="22"/>
      <w:szCs w:val="22"/>
      <w:u w:val="none"/>
    </w:rPr>
  </w:style>
  <w:style w:type="character" w:customStyle="1" w:styleId="Bodytext5115pt">
    <w:name w:val="Body text (5) + 11.5 pt"/>
    <w:aliases w:val="Bold"/>
    <w:basedOn w:val="Bodytext5"/>
    <w:rsid w:val="00305F83"/>
    <w:rPr>
      <w:rFonts w:ascii="AppleMyungjo" w:eastAsia="AppleMyungjo" w:hAnsi="AppleMyungjo" w:cs="AppleMyungjo"/>
      <w:b/>
      <w:bCs/>
      <w:i/>
      <w:iCs/>
      <w:smallCaps w:val="0"/>
      <w:strike w:val="0"/>
      <w:color w:val="000000"/>
      <w:spacing w:val="0"/>
      <w:w w:val="100"/>
      <w:position w:val="0"/>
      <w:sz w:val="23"/>
      <w:szCs w:val="23"/>
      <w:u w:val="none"/>
      <w:lang w:val="en-US" w:eastAsia="en-US" w:bidi="en-US"/>
    </w:rPr>
  </w:style>
  <w:style w:type="character" w:customStyle="1" w:styleId="Bodytext6">
    <w:name w:val="Body text (6)_"/>
    <w:basedOn w:val="DefaultParagraphFont"/>
    <w:link w:val="Bodytext60"/>
    <w:rsid w:val="00305F83"/>
    <w:rPr>
      <w:rFonts w:ascii="AppleMyungjo" w:eastAsia="AppleMyungjo" w:hAnsi="AppleMyungjo" w:cs="AppleMyungjo"/>
      <w:b w:val="0"/>
      <w:bCs w:val="0"/>
      <w:i w:val="0"/>
      <w:iCs w:val="0"/>
      <w:smallCaps w:val="0"/>
      <w:strike w:val="0"/>
      <w:spacing w:val="-20"/>
      <w:sz w:val="22"/>
      <w:szCs w:val="22"/>
      <w:u w:val="none"/>
    </w:rPr>
  </w:style>
  <w:style w:type="character" w:customStyle="1" w:styleId="Bodytext7">
    <w:name w:val="Body text (7)_"/>
    <w:basedOn w:val="DefaultParagraphFont"/>
    <w:link w:val="Bodytext70"/>
    <w:rsid w:val="00305F83"/>
    <w:rPr>
      <w:rFonts w:ascii="AppleMyungjo" w:eastAsia="AppleMyungjo" w:hAnsi="AppleMyungjo" w:cs="AppleMyungjo"/>
      <w:b w:val="0"/>
      <w:bCs w:val="0"/>
      <w:i w:val="0"/>
      <w:iCs w:val="0"/>
      <w:smallCaps w:val="0"/>
      <w:strike w:val="0"/>
      <w:spacing w:val="-20"/>
      <w:sz w:val="22"/>
      <w:szCs w:val="22"/>
      <w:u w:val="none"/>
    </w:rPr>
  </w:style>
  <w:style w:type="character" w:customStyle="1" w:styleId="Picturecaption2">
    <w:name w:val="Picture caption (2)_"/>
    <w:basedOn w:val="DefaultParagraphFont"/>
    <w:link w:val="Picturecaption20"/>
    <w:rsid w:val="00305F83"/>
    <w:rPr>
      <w:rFonts w:ascii="AppleMyungjo" w:eastAsia="AppleMyungjo" w:hAnsi="AppleMyungjo" w:cs="AppleMyungjo"/>
      <w:b w:val="0"/>
      <w:bCs w:val="0"/>
      <w:i w:val="0"/>
      <w:iCs w:val="0"/>
      <w:smallCaps w:val="0"/>
      <w:strike w:val="0"/>
      <w:sz w:val="14"/>
      <w:szCs w:val="14"/>
      <w:u w:val="none"/>
    </w:rPr>
  </w:style>
  <w:style w:type="character" w:customStyle="1" w:styleId="Picturecaption2Spacing25pt">
    <w:name w:val="Picture caption (2) + Spacing 25 pt"/>
    <w:basedOn w:val="Picturecaption2"/>
    <w:rsid w:val="00305F83"/>
    <w:rPr>
      <w:rFonts w:ascii="AppleMyungjo" w:eastAsia="AppleMyungjo" w:hAnsi="AppleMyungjo" w:cs="AppleMyungjo"/>
      <w:b w:val="0"/>
      <w:bCs w:val="0"/>
      <w:i w:val="0"/>
      <w:iCs w:val="0"/>
      <w:smallCaps w:val="0"/>
      <w:strike w:val="0"/>
      <w:color w:val="000000"/>
      <w:spacing w:val="500"/>
      <w:w w:val="100"/>
      <w:position w:val="0"/>
      <w:sz w:val="14"/>
      <w:szCs w:val="14"/>
      <w:u w:val="none"/>
      <w:lang w:val="en-US" w:eastAsia="en-US" w:bidi="en-US"/>
    </w:rPr>
  </w:style>
  <w:style w:type="character" w:customStyle="1" w:styleId="Picturecaption2Bold">
    <w:name w:val="Picture caption (2) + Bold"/>
    <w:basedOn w:val="Picturecaption2"/>
    <w:rsid w:val="00305F83"/>
    <w:rPr>
      <w:rFonts w:ascii="AppleMyungjo" w:eastAsia="AppleMyungjo" w:hAnsi="AppleMyungjo" w:cs="AppleMyungjo"/>
      <w:b/>
      <w:bCs/>
      <w:i w:val="0"/>
      <w:iCs w:val="0"/>
      <w:smallCaps w:val="0"/>
      <w:strike w:val="0"/>
      <w:color w:val="000000"/>
      <w:spacing w:val="0"/>
      <w:w w:val="100"/>
      <w:position w:val="0"/>
      <w:sz w:val="14"/>
      <w:szCs w:val="14"/>
      <w:u w:val="none"/>
      <w:lang w:val="en-US" w:eastAsia="en-US" w:bidi="en-US"/>
    </w:rPr>
  </w:style>
  <w:style w:type="character" w:customStyle="1" w:styleId="Tablecaption">
    <w:name w:val="Table caption_"/>
    <w:basedOn w:val="DefaultParagraphFont"/>
    <w:link w:val="Tablecaption0"/>
    <w:rsid w:val="00305F83"/>
    <w:rPr>
      <w:rFonts w:ascii="AppleMyungjo" w:eastAsia="AppleMyungjo" w:hAnsi="AppleMyungjo" w:cs="AppleMyungjo"/>
      <w:b w:val="0"/>
      <w:bCs w:val="0"/>
      <w:i w:val="0"/>
      <w:iCs w:val="0"/>
      <w:smallCaps w:val="0"/>
      <w:strike w:val="0"/>
      <w:sz w:val="22"/>
      <w:szCs w:val="22"/>
      <w:u w:val="none"/>
    </w:rPr>
  </w:style>
  <w:style w:type="character" w:customStyle="1" w:styleId="Bodytext21">
    <w:name w:val="Body text (2)"/>
    <w:basedOn w:val="Bodytext2"/>
    <w:rsid w:val="00305F83"/>
    <w:rPr>
      <w:rFonts w:ascii="AppleMyungjo" w:eastAsia="AppleMyungjo" w:hAnsi="AppleMyungjo" w:cs="AppleMyungjo"/>
      <w:b w:val="0"/>
      <w:bCs w:val="0"/>
      <w:i w:val="0"/>
      <w:iCs w:val="0"/>
      <w:smallCaps w:val="0"/>
      <w:strike w:val="0"/>
      <w:color w:val="000000"/>
      <w:spacing w:val="0"/>
      <w:w w:val="100"/>
      <w:position w:val="0"/>
      <w:sz w:val="22"/>
      <w:szCs w:val="22"/>
      <w:u w:val="none"/>
      <w:lang w:val="en-US" w:eastAsia="en-US" w:bidi="en-US"/>
    </w:rPr>
  </w:style>
  <w:style w:type="character" w:customStyle="1" w:styleId="Bodytext2Italic0">
    <w:name w:val="Body text (2) + Italic"/>
    <w:basedOn w:val="Bodytext2"/>
    <w:rsid w:val="00305F83"/>
    <w:rPr>
      <w:rFonts w:ascii="AppleMyungjo" w:eastAsia="AppleMyungjo" w:hAnsi="AppleMyungjo" w:cs="AppleMyungjo"/>
      <w:b w:val="0"/>
      <w:bCs w:val="0"/>
      <w:i/>
      <w:iCs/>
      <w:smallCaps w:val="0"/>
      <w:strike w:val="0"/>
      <w:color w:val="000000"/>
      <w:spacing w:val="0"/>
      <w:w w:val="100"/>
      <w:position w:val="0"/>
      <w:sz w:val="22"/>
      <w:szCs w:val="22"/>
      <w:u w:val="none"/>
      <w:lang w:val="en-US" w:eastAsia="en-US" w:bidi="en-US"/>
    </w:rPr>
  </w:style>
  <w:style w:type="character" w:customStyle="1" w:styleId="Bodytext25pt">
    <w:name w:val="Body text (2) + 5 pt"/>
    <w:aliases w:val="Scale 120%"/>
    <w:basedOn w:val="Bodytext2"/>
    <w:rsid w:val="00305F83"/>
    <w:rPr>
      <w:rFonts w:ascii="AppleMyungjo" w:eastAsia="AppleMyungjo" w:hAnsi="AppleMyungjo" w:cs="AppleMyungjo"/>
      <w:b/>
      <w:bCs/>
      <w:i w:val="0"/>
      <w:iCs w:val="0"/>
      <w:smallCaps w:val="0"/>
      <w:strike w:val="0"/>
      <w:color w:val="000000"/>
      <w:spacing w:val="0"/>
      <w:w w:val="120"/>
      <w:position w:val="0"/>
      <w:sz w:val="10"/>
      <w:szCs w:val="10"/>
      <w:u w:val="none"/>
      <w:lang w:val="en-US" w:eastAsia="en-US" w:bidi="en-US"/>
    </w:rPr>
  </w:style>
  <w:style w:type="character" w:customStyle="1" w:styleId="TablecaptionItalic">
    <w:name w:val="Table caption + Italic"/>
    <w:basedOn w:val="Tablecaption"/>
    <w:rsid w:val="00305F83"/>
    <w:rPr>
      <w:rFonts w:ascii="AppleMyungjo" w:eastAsia="AppleMyungjo" w:hAnsi="AppleMyungjo" w:cs="AppleMyungjo"/>
      <w:b w:val="0"/>
      <w:bCs w:val="0"/>
      <w:i/>
      <w:iCs/>
      <w:smallCaps w:val="0"/>
      <w:strike w:val="0"/>
      <w:color w:val="000000"/>
      <w:spacing w:val="0"/>
      <w:w w:val="100"/>
      <w:position w:val="0"/>
      <w:sz w:val="22"/>
      <w:szCs w:val="22"/>
      <w:u w:val="none"/>
      <w:lang w:val="en-US" w:eastAsia="en-US" w:bidi="en-US"/>
    </w:rPr>
  </w:style>
  <w:style w:type="character" w:customStyle="1" w:styleId="TablecaptionSpacing-1pt">
    <w:name w:val="Table caption + Spacing -1 pt"/>
    <w:basedOn w:val="Tablecaption"/>
    <w:rsid w:val="00305F83"/>
    <w:rPr>
      <w:rFonts w:ascii="AppleMyungjo" w:eastAsia="AppleMyungjo" w:hAnsi="AppleMyungjo" w:cs="AppleMyungjo"/>
      <w:b w:val="0"/>
      <w:bCs w:val="0"/>
      <w:i w:val="0"/>
      <w:iCs w:val="0"/>
      <w:smallCaps w:val="0"/>
      <w:strike w:val="0"/>
      <w:color w:val="000000"/>
      <w:spacing w:val="-20"/>
      <w:w w:val="100"/>
      <w:position w:val="0"/>
      <w:sz w:val="22"/>
      <w:szCs w:val="22"/>
      <w:u w:val="none"/>
      <w:lang w:val="en-US" w:eastAsia="en-US" w:bidi="en-US"/>
    </w:rPr>
  </w:style>
  <w:style w:type="character" w:customStyle="1" w:styleId="Bodytext2Spacing-1pt">
    <w:name w:val="Body text (2) + Spacing -1 pt"/>
    <w:basedOn w:val="Bodytext2"/>
    <w:rsid w:val="00305F83"/>
    <w:rPr>
      <w:rFonts w:ascii="AppleMyungjo" w:eastAsia="AppleMyungjo" w:hAnsi="AppleMyungjo" w:cs="AppleMyungjo"/>
      <w:b w:val="0"/>
      <w:bCs w:val="0"/>
      <w:i w:val="0"/>
      <w:iCs w:val="0"/>
      <w:smallCaps w:val="0"/>
      <w:strike w:val="0"/>
      <w:color w:val="000000"/>
      <w:spacing w:val="-20"/>
      <w:w w:val="100"/>
      <w:position w:val="0"/>
      <w:sz w:val="22"/>
      <w:szCs w:val="22"/>
      <w:u w:val="none"/>
      <w:lang w:val="en-US" w:eastAsia="en-US" w:bidi="en-US"/>
    </w:rPr>
  </w:style>
  <w:style w:type="character" w:customStyle="1" w:styleId="Bodytext8">
    <w:name w:val="Body text (8)_"/>
    <w:basedOn w:val="DefaultParagraphFont"/>
    <w:link w:val="Bodytext80"/>
    <w:rsid w:val="00305F83"/>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DefaultParagraphFont"/>
    <w:rsid w:val="00305F83"/>
    <w:rPr>
      <w:rFonts w:ascii="AppleMyungjo" w:eastAsia="AppleMyungjo" w:hAnsi="AppleMyungjo" w:cs="AppleMyungjo"/>
      <w:b w:val="0"/>
      <w:bCs w:val="0"/>
      <w:i w:val="0"/>
      <w:iCs w:val="0"/>
      <w:smallCaps w:val="0"/>
      <w:strike w:val="0"/>
      <w:sz w:val="22"/>
      <w:szCs w:val="22"/>
      <w:u w:val="none"/>
    </w:rPr>
  </w:style>
  <w:style w:type="character" w:customStyle="1" w:styleId="Bodytext2Spacing-1ptExact">
    <w:name w:val="Body text (2) + Spacing -1 pt Exact"/>
    <w:basedOn w:val="Bodytext2"/>
    <w:rsid w:val="00305F83"/>
    <w:rPr>
      <w:rFonts w:ascii="AppleMyungjo" w:eastAsia="AppleMyungjo" w:hAnsi="AppleMyungjo" w:cs="AppleMyungjo"/>
      <w:b w:val="0"/>
      <w:bCs w:val="0"/>
      <w:i w:val="0"/>
      <w:iCs w:val="0"/>
      <w:smallCaps w:val="0"/>
      <w:strike w:val="0"/>
      <w:color w:val="000000"/>
      <w:spacing w:val="-20"/>
      <w:w w:val="100"/>
      <w:position w:val="0"/>
      <w:sz w:val="22"/>
      <w:szCs w:val="22"/>
      <w:u w:val="none"/>
      <w:lang w:val="en-US" w:eastAsia="en-US" w:bidi="en-US"/>
    </w:rPr>
  </w:style>
  <w:style w:type="character" w:customStyle="1" w:styleId="Bodytext2ItalicExact">
    <w:name w:val="Body text (2) + Italic Exact"/>
    <w:basedOn w:val="Bodytext2"/>
    <w:rsid w:val="00305F83"/>
    <w:rPr>
      <w:rFonts w:ascii="AppleMyungjo" w:eastAsia="AppleMyungjo" w:hAnsi="AppleMyungjo" w:cs="AppleMyungjo"/>
      <w:b w:val="0"/>
      <w:bCs w:val="0"/>
      <w:i/>
      <w:iCs/>
      <w:smallCaps w:val="0"/>
      <w:strike w:val="0"/>
      <w:color w:val="000000"/>
      <w:spacing w:val="0"/>
      <w:w w:val="100"/>
      <w:position w:val="0"/>
      <w:sz w:val="22"/>
      <w:szCs w:val="22"/>
      <w:u w:val="none"/>
      <w:lang w:val="en-US" w:eastAsia="en-US" w:bidi="en-US"/>
    </w:rPr>
  </w:style>
  <w:style w:type="character" w:customStyle="1" w:styleId="Bodytext9Exact">
    <w:name w:val="Body text (9) Exact"/>
    <w:basedOn w:val="DefaultParagraphFont"/>
    <w:link w:val="Bodytext9"/>
    <w:rsid w:val="00305F83"/>
    <w:rPr>
      <w:rFonts w:ascii="Arial" w:eastAsia="Arial" w:hAnsi="Arial" w:cs="Arial"/>
      <w:b w:val="0"/>
      <w:bCs w:val="0"/>
      <w:i w:val="0"/>
      <w:iCs w:val="0"/>
      <w:smallCaps w:val="0"/>
      <w:strike w:val="0"/>
      <w:sz w:val="14"/>
      <w:szCs w:val="14"/>
      <w:u w:val="none"/>
    </w:rPr>
  </w:style>
  <w:style w:type="character" w:customStyle="1" w:styleId="Bodytext10Exact">
    <w:name w:val="Body text (10) Exact"/>
    <w:basedOn w:val="DefaultParagraphFont"/>
    <w:link w:val="Bodytext10"/>
    <w:rsid w:val="00305F83"/>
    <w:rPr>
      <w:rFonts w:ascii="AppleMyungjo" w:eastAsia="AppleMyungjo" w:hAnsi="AppleMyungjo" w:cs="AppleMyungjo"/>
      <w:b w:val="0"/>
      <w:bCs w:val="0"/>
      <w:i w:val="0"/>
      <w:iCs w:val="0"/>
      <w:smallCaps w:val="0"/>
      <w:strike w:val="0"/>
      <w:sz w:val="8"/>
      <w:szCs w:val="8"/>
      <w:u w:val="none"/>
    </w:rPr>
  </w:style>
  <w:style w:type="character" w:customStyle="1" w:styleId="Bodytext11Exact">
    <w:name w:val="Body text (11) Exact"/>
    <w:basedOn w:val="DefaultParagraphFont"/>
    <w:link w:val="Bodytext11"/>
    <w:rsid w:val="00305F83"/>
    <w:rPr>
      <w:rFonts w:ascii="AppleMyungjo" w:eastAsia="AppleMyungjo" w:hAnsi="AppleMyungjo" w:cs="AppleMyungjo"/>
      <w:b w:val="0"/>
      <w:bCs w:val="0"/>
      <w:i w:val="0"/>
      <w:iCs w:val="0"/>
      <w:smallCaps w:val="0"/>
      <w:strike w:val="0"/>
      <w:sz w:val="13"/>
      <w:szCs w:val="13"/>
      <w:u w:val="none"/>
    </w:rPr>
  </w:style>
  <w:style w:type="character" w:customStyle="1" w:styleId="Bodytext12Exact">
    <w:name w:val="Body text (12) Exact"/>
    <w:basedOn w:val="DefaultParagraphFont"/>
    <w:link w:val="Bodytext12"/>
    <w:rsid w:val="00305F83"/>
    <w:rPr>
      <w:rFonts w:ascii="AppleMyungjo" w:eastAsia="AppleMyungjo" w:hAnsi="AppleMyungjo" w:cs="AppleMyungjo"/>
      <w:b w:val="0"/>
      <w:bCs w:val="0"/>
      <w:i w:val="0"/>
      <w:iCs w:val="0"/>
      <w:smallCaps w:val="0"/>
      <w:strike w:val="0"/>
      <w:sz w:val="12"/>
      <w:szCs w:val="12"/>
      <w:u w:val="none"/>
    </w:rPr>
  </w:style>
  <w:style w:type="character" w:customStyle="1" w:styleId="Bodytext13Exact">
    <w:name w:val="Body text (13) Exact"/>
    <w:basedOn w:val="DefaultParagraphFont"/>
    <w:link w:val="Bodytext13"/>
    <w:rsid w:val="00305F83"/>
    <w:rPr>
      <w:rFonts w:ascii="Arial" w:eastAsia="Arial" w:hAnsi="Arial" w:cs="Arial"/>
      <w:b w:val="0"/>
      <w:bCs w:val="0"/>
      <w:i w:val="0"/>
      <w:iCs w:val="0"/>
      <w:smallCaps w:val="0"/>
      <w:strike w:val="0"/>
      <w:sz w:val="13"/>
      <w:szCs w:val="13"/>
      <w:u w:val="none"/>
    </w:rPr>
  </w:style>
  <w:style w:type="character" w:customStyle="1" w:styleId="Bodytext14Exact">
    <w:name w:val="Body text (14) Exact"/>
    <w:basedOn w:val="DefaultParagraphFont"/>
    <w:link w:val="Bodytext14"/>
    <w:rsid w:val="00305F83"/>
    <w:rPr>
      <w:rFonts w:ascii="AppleMyungjo" w:eastAsia="AppleMyungjo" w:hAnsi="AppleMyungjo" w:cs="AppleMyungjo"/>
      <w:b w:val="0"/>
      <w:bCs w:val="0"/>
      <w:i w:val="0"/>
      <w:iCs w:val="0"/>
      <w:smallCaps w:val="0"/>
      <w:strike w:val="0"/>
      <w:spacing w:val="-20"/>
      <w:sz w:val="13"/>
      <w:szCs w:val="13"/>
      <w:u w:val="none"/>
    </w:rPr>
  </w:style>
  <w:style w:type="character" w:customStyle="1" w:styleId="Bodytext15Exact">
    <w:name w:val="Body text (15) Exact"/>
    <w:basedOn w:val="DefaultParagraphFont"/>
    <w:link w:val="Bodytext15"/>
    <w:rsid w:val="00305F83"/>
    <w:rPr>
      <w:rFonts w:ascii="Arial" w:eastAsia="Arial" w:hAnsi="Arial" w:cs="Arial"/>
      <w:b w:val="0"/>
      <w:bCs w:val="0"/>
      <w:i w:val="0"/>
      <w:iCs w:val="0"/>
      <w:smallCaps w:val="0"/>
      <w:strike w:val="0"/>
      <w:spacing w:val="30"/>
      <w:sz w:val="11"/>
      <w:szCs w:val="11"/>
      <w:u w:val="none"/>
    </w:rPr>
  </w:style>
  <w:style w:type="character" w:customStyle="1" w:styleId="Bodytext15AppleMyungjo">
    <w:name w:val="Body text (15) + AppleMyungjo"/>
    <w:aliases w:val="6.5 pt,Spacing 0 pt Exact"/>
    <w:basedOn w:val="Bodytext15Exact"/>
    <w:rsid w:val="00305F83"/>
    <w:rPr>
      <w:rFonts w:ascii="AppleMyungjo" w:eastAsia="AppleMyungjo" w:hAnsi="AppleMyungjo" w:cs="AppleMyungjo"/>
      <w:b w:val="0"/>
      <w:bCs w:val="0"/>
      <w:i w:val="0"/>
      <w:iCs w:val="0"/>
      <w:smallCaps w:val="0"/>
      <w:strike w:val="0"/>
      <w:color w:val="000000"/>
      <w:spacing w:val="0"/>
      <w:w w:val="100"/>
      <w:position w:val="0"/>
      <w:sz w:val="13"/>
      <w:szCs w:val="13"/>
      <w:u w:val="none"/>
    </w:rPr>
  </w:style>
  <w:style w:type="character" w:customStyle="1" w:styleId="Picturecaption3Exact">
    <w:name w:val="Picture caption (3) Exact"/>
    <w:basedOn w:val="DefaultParagraphFont"/>
    <w:link w:val="Picturecaption3"/>
    <w:rsid w:val="00305F83"/>
    <w:rPr>
      <w:rFonts w:ascii="Arial" w:eastAsia="Arial" w:hAnsi="Arial" w:cs="Arial"/>
      <w:b w:val="0"/>
      <w:bCs w:val="0"/>
      <w:i w:val="0"/>
      <w:iCs w:val="0"/>
      <w:smallCaps w:val="0"/>
      <w:strike w:val="0"/>
      <w:sz w:val="14"/>
      <w:szCs w:val="14"/>
      <w:u w:val="none"/>
    </w:rPr>
  </w:style>
  <w:style w:type="character" w:customStyle="1" w:styleId="Bodytext16Exact">
    <w:name w:val="Body text (16) Exact"/>
    <w:basedOn w:val="DefaultParagraphFont"/>
    <w:link w:val="Bodytext16"/>
    <w:rsid w:val="00305F83"/>
    <w:rPr>
      <w:rFonts w:ascii="AppleMyungjo" w:eastAsia="AppleMyungjo" w:hAnsi="AppleMyungjo" w:cs="AppleMyungjo"/>
      <w:b/>
      <w:bCs/>
      <w:i w:val="0"/>
      <w:iCs w:val="0"/>
      <w:smallCaps w:val="0"/>
      <w:strike w:val="0"/>
      <w:spacing w:val="-10"/>
      <w:sz w:val="22"/>
      <w:szCs w:val="22"/>
      <w:u w:val="none"/>
    </w:rPr>
  </w:style>
  <w:style w:type="character" w:customStyle="1" w:styleId="Picturecaption4Exact">
    <w:name w:val="Picture caption (4) Exact"/>
    <w:basedOn w:val="DefaultParagraphFont"/>
    <w:link w:val="Picturecaption4"/>
    <w:rsid w:val="00305F83"/>
    <w:rPr>
      <w:rFonts w:ascii="Arial" w:eastAsia="Arial" w:hAnsi="Arial" w:cs="Arial"/>
      <w:b/>
      <w:bCs/>
      <w:i w:val="0"/>
      <w:iCs w:val="0"/>
      <w:smallCaps w:val="0"/>
      <w:strike w:val="0"/>
      <w:sz w:val="15"/>
      <w:szCs w:val="15"/>
      <w:u w:val="none"/>
    </w:rPr>
  </w:style>
  <w:style w:type="character" w:customStyle="1" w:styleId="Bodytext2Spacing-1pt0">
    <w:name w:val="Body text (2) + Spacing -1 pt"/>
    <w:basedOn w:val="Bodytext2"/>
    <w:rsid w:val="00305F83"/>
    <w:rPr>
      <w:rFonts w:ascii="AppleMyungjo" w:eastAsia="AppleMyungjo" w:hAnsi="AppleMyungjo" w:cs="AppleMyungjo"/>
      <w:b w:val="0"/>
      <w:bCs w:val="0"/>
      <w:i w:val="0"/>
      <w:iCs w:val="0"/>
      <w:smallCaps w:val="0"/>
      <w:strike w:val="0"/>
      <w:color w:val="000000"/>
      <w:spacing w:val="-20"/>
      <w:w w:val="100"/>
      <w:position w:val="0"/>
      <w:sz w:val="22"/>
      <w:szCs w:val="22"/>
      <w:u w:val="none"/>
      <w:lang w:val="en-US" w:eastAsia="en-US" w:bidi="en-US"/>
    </w:rPr>
  </w:style>
  <w:style w:type="character" w:customStyle="1" w:styleId="Bodytext17">
    <w:name w:val="Body text (17)_"/>
    <w:basedOn w:val="DefaultParagraphFont"/>
    <w:link w:val="Bodytext170"/>
    <w:rsid w:val="00305F83"/>
    <w:rPr>
      <w:rFonts w:ascii="Arial" w:eastAsia="Arial" w:hAnsi="Arial" w:cs="Arial"/>
      <w:b w:val="0"/>
      <w:bCs w:val="0"/>
      <w:i w:val="0"/>
      <w:iCs w:val="0"/>
      <w:smallCaps w:val="0"/>
      <w:strike w:val="0"/>
      <w:sz w:val="21"/>
      <w:szCs w:val="21"/>
      <w:u w:val="none"/>
    </w:rPr>
  </w:style>
  <w:style w:type="character" w:customStyle="1" w:styleId="Picturecaption">
    <w:name w:val="Picture caption_"/>
    <w:basedOn w:val="DefaultParagraphFont"/>
    <w:link w:val="Picturecaption0"/>
    <w:rsid w:val="00305F83"/>
    <w:rPr>
      <w:rFonts w:ascii="AppleMyungjo" w:eastAsia="AppleMyungjo" w:hAnsi="AppleMyungjo" w:cs="AppleMyungjo"/>
      <w:b w:val="0"/>
      <w:bCs w:val="0"/>
      <w:i w:val="0"/>
      <w:iCs w:val="0"/>
      <w:smallCaps w:val="0"/>
      <w:strike w:val="0"/>
      <w:sz w:val="22"/>
      <w:szCs w:val="22"/>
      <w:u w:val="none"/>
    </w:rPr>
  </w:style>
  <w:style w:type="character" w:customStyle="1" w:styleId="Bodytext5NotItalic">
    <w:name w:val="Body text (5) + Not Italic"/>
    <w:basedOn w:val="Bodytext5"/>
    <w:rsid w:val="00305F83"/>
    <w:rPr>
      <w:rFonts w:ascii="AppleMyungjo" w:eastAsia="AppleMyungjo" w:hAnsi="AppleMyungjo" w:cs="AppleMyungjo"/>
      <w:b w:val="0"/>
      <w:bCs w:val="0"/>
      <w:i/>
      <w:iCs/>
      <w:smallCaps w:val="0"/>
      <w:strike w:val="0"/>
      <w:color w:val="000000"/>
      <w:spacing w:val="0"/>
      <w:w w:val="100"/>
      <w:position w:val="0"/>
      <w:sz w:val="22"/>
      <w:szCs w:val="22"/>
      <w:u w:val="none"/>
      <w:lang w:val="en-US" w:eastAsia="en-US" w:bidi="en-US"/>
    </w:rPr>
  </w:style>
  <w:style w:type="character" w:customStyle="1" w:styleId="Bodytext5NotItalic0">
    <w:name w:val="Body text (5) + Not Italic"/>
    <w:aliases w:val="Spacing -1 pt"/>
    <w:basedOn w:val="Bodytext5"/>
    <w:rsid w:val="00305F83"/>
    <w:rPr>
      <w:rFonts w:ascii="AppleMyungjo" w:eastAsia="AppleMyungjo" w:hAnsi="AppleMyungjo" w:cs="AppleMyungjo"/>
      <w:b w:val="0"/>
      <w:bCs w:val="0"/>
      <w:i/>
      <w:iCs/>
      <w:smallCaps w:val="0"/>
      <w:strike w:val="0"/>
      <w:color w:val="000000"/>
      <w:spacing w:val="-20"/>
      <w:w w:val="100"/>
      <w:position w:val="0"/>
      <w:sz w:val="22"/>
      <w:szCs w:val="22"/>
      <w:u w:val="none"/>
      <w:lang w:val="en-US" w:eastAsia="en-US" w:bidi="en-US"/>
    </w:rPr>
  </w:style>
  <w:style w:type="character" w:customStyle="1" w:styleId="Bodytext2Spacing-2pt">
    <w:name w:val="Body text (2) + Spacing -2 pt"/>
    <w:basedOn w:val="Bodytext2"/>
    <w:rsid w:val="00305F83"/>
    <w:rPr>
      <w:rFonts w:ascii="AppleMyungjo" w:eastAsia="AppleMyungjo" w:hAnsi="AppleMyungjo" w:cs="AppleMyungjo"/>
      <w:b w:val="0"/>
      <w:bCs w:val="0"/>
      <w:i w:val="0"/>
      <w:iCs w:val="0"/>
      <w:smallCaps w:val="0"/>
      <w:strike w:val="0"/>
      <w:color w:val="000000"/>
      <w:spacing w:val="-40"/>
      <w:w w:val="100"/>
      <w:position w:val="0"/>
      <w:sz w:val="22"/>
      <w:szCs w:val="22"/>
      <w:u w:val="none"/>
      <w:lang w:val="en-US" w:eastAsia="en-US" w:bidi="en-US"/>
    </w:rPr>
  </w:style>
  <w:style w:type="character" w:customStyle="1" w:styleId="Bodytext2Arial">
    <w:name w:val="Body text (2) + Arial"/>
    <w:aliases w:val="14 pt,Italic,Scale 75%"/>
    <w:basedOn w:val="Bodytext2"/>
    <w:rsid w:val="00305F83"/>
    <w:rPr>
      <w:rFonts w:ascii="Arial" w:eastAsia="Arial" w:hAnsi="Arial" w:cs="Arial"/>
      <w:b w:val="0"/>
      <w:bCs w:val="0"/>
      <w:i/>
      <w:iCs/>
      <w:smallCaps w:val="0"/>
      <w:strike w:val="0"/>
      <w:color w:val="000000"/>
      <w:spacing w:val="0"/>
      <w:w w:val="75"/>
      <w:position w:val="0"/>
      <w:sz w:val="28"/>
      <w:szCs w:val="28"/>
      <w:u w:val="none"/>
      <w:lang w:val="en-US" w:eastAsia="en-US" w:bidi="en-US"/>
    </w:rPr>
  </w:style>
  <w:style w:type="character" w:customStyle="1" w:styleId="Bodytext216pt">
    <w:name w:val="Body text (2) + 16 pt"/>
    <w:aliases w:val="Italic"/>
    <w:basedOn w:val="Bodytext2"/>
    <w:rsid w:val="00305F83"/>
    <w:rPr>
      <w:rFonts w:ascii="AppleMyungjo" w:eastAsia="AppleMyungjo" w:hAnsi="AppleMyungjo" w:cs="AppleMyungjo"/>
      <w:b w:val="0"/>
      <w:bCs w:val="0"/>
      <w:i/>
      <w:iCs/>
      <w:smallCaps w:val="0"/>
      <w:strike w:val="0"/>
      <w:color w:val="000000"/>
      <w:spacing w:val="0"/>
      <w:w w:val="100"/>
      <w:position w:val="0"/>
      <w:sz w:val="32"/>
      <w:szCs w:val="32"/>
      <w:u w:val="none"/>
      <w:lang w:val="en-US" w:eastAsia="en-US" w:bidi="en-US"/>
    </w:rPr>
  </w:style>
  <w:style w:type="paragraph" w:customStyle="1" w:styleId="Footnote0">
    <w:name w:val="Footnote"/>
    <w:basedOn w:val="Normal"/>
    <w:link w:val="Footnote"/>
    <w:rsid w:val="00305F83"/>
    <w:pPr>
      <w:shd w:val="clear" w:color="auto" w:fill="FFFFFF"/>
      <w:spacing w:line="288" w:lineRule="exact"/>
      <w:jc w:val="both"/>
    </w:pPr>
    <w:rPr>
      <w:rFonts w:ascii="AppleMyungjo" w:eastAsia="AppleMyungjo" w:hAnsi="AppleMyungjo" w:cs="AppleMyungjo"/>
      <w:sz w:val="22"/>
      <w:szCs w:val="22"/>
    </w:rPr>
  </w:style>
  <w:style w:type="paragraph" w:customStyle="1" w:styleId="Footnote20">
    <w:name w:val="Footnote (2)"/>
    <w:basedOn w:val="Normal"/>
    <w:link w:val="Footnote2"/>
    <w:rsid w:val="00305F83"/>
    <w:pPr>
      <w:shd w:val="clear" w:color="auto" w:fill="FFFFFF"/>
      <w:spacing w:line="0" w:lineRule="atLeast"/>
      <w:jc w:val="center"/>
    </w:pPr>
    <w:rPr>
      <w:rFonts w:ascii="AppleMyungjo" w:eastAsia="AppleMyungjo" w:hAnsi="AppleMyungjo" w:cs="AppleMyungjo"/>
      <w:sz w:val="22"/>
      <w:szCs w:val="22"/>
    </w:rPr>
  </w:style>
  <w:style w:type="paragraph" w:customStyle="1" w:styleId="Footnote30">
    <w:name w:val="Footnote (3)"/>
    <w:basedOn w:val="Normal"/>
    <w:link w:val="Footnote3"/>
    <w:rsid w:val="00305F83"/>
    <w:pPr>
      <w:shd w:val="clear" w:color="auto" w:fill="FFFFFF"/>
      <w:spacing w:line="0" w:lineRule="atLeast"/>
      <w:jc w:val="center"/>
    </w:pPr>
    <w:rPr>
      <w:rFonts w:ascii="Arial" w:eastAsia="Arial" w:hAnsi="Arial" w:cs="Arial"/>
      <w:w w:val="90"/>
      <w:sz w:val="22"/>
      <w:szCs w:val="22"/>
    </w:rPr>
  </w:style>
  <w:style w:type="paragraph" w:customStyle="1" w:styleId="Heading10">
    <w:name w:val="Heading #1"/>
    <w:basedOn w:val="Normal"/>
    <w:link w:val="Heading1"/>
    <w:rsid w:val="00305F83"/>
    <w:pPr>
      <w:shd w:val="clear" w:color="auto" w:fill="FFFFFF"/>
      <w:spacing w:after="180" w:line="494" w:lineRule="exact"/>
      <w:jc w:val="center"/>
      <w:outlineLvl w:val="0"/>
    </w:pPr>
    <w:rPr>
      <w:rFonts w:ascii="AppleMyungjo" w:eastAsia="AppleMyungjo" w:hAnsi="AppleMyungjo" w:cs="AppleMyungjo"/>
      <w:sz w:val="36"/>
      <w:szCs w:val="36"/>
    </w:rPr>
  </w:style>
  <w:style w:type="paragraph" w:customStyle="1" w:styleId="Bodytext30">
    <w:name w:val="Body text (3)"/>
    <w:basedOn w:val="Normal"/>
    <w:link w:val="Bodytext3"/>
    <w:rsid w:val="00305F83"/>
    <w:pPr>
      <w:shd w:val="clear" w:color="auto" w:fill="FFFFFF"/>
      <w:spacing w:before="180" w:after="1080" w:line="0" w:lineRule="atLeast"/>
      <w:jc w:val="center"/>
    </w:pPr>
    <w:rPr>
      <w:rFonts w:ascii="AppleMyungjo" w:eastAsia="AppleMyungjo" w:hAnsi="AppleMyungjo" w:cs="AppleMyungjo"/>
      <w:sz w:val="26"/>
      <w:szCs w:val="26"/>
    </w:rPr>
  </w:style>
  <w:style w:type="paragraph" w:customStyle="1" w:styleId="Bodytext20">
    <w:name w:val="Body text (2)"/>
    <w:basedOn w:val="Normal"/>
    <w:link w:val="Bodytext2"/>
    <w:rsid w:val="00305F83"/>
    <w:pPr>
      <w:shd w:val="clear" w:color="auto" w:fill="FFFFFF"/>
      <w:spacing w:before="1080" w:line="269" w:lineRule="exact"/>
      <w:ind w:hanging="247"/>
      <w:jc w:val="both"/>
    </w:pPr>
    <w:rPr>
      <w:rFonts w:ascii="AppleMyungjo" w:eastAsia="AppleMyungjo" w:hAnsi="AppleMyungjo" w:cs="AppleMyungjo"/>
      <w:sz w:val="22"/>
      <w:szCs w:val="22"/>
    </w:rPr>
  </w:style>
  <w:style w:type="paragraph" w:customStyle="1" w:styleId="Heading20">
    <w:name w:val="Heading #2"/>
    <w:basedOn w:val="Normal"/>
    <w:link w:val="Heading2"/>
    <w:rsid w:val="00305F83"/>
    <w:pPr>
      <w:shd w:val="clear" w:color="auto" w:fill="FFFFFF"/>
      <w:spacing w:before="840" w:after="600" w:line="0" w:lineRule="atLeast"/>
      <w:ind w:hanging="231"/>
      <w:jc w:val="both"/>
      <w:outlineLvl w:val="1"/>
    </w:pPr>
    <w:rPr>
      <w:rFonts w:ascii="AppleMyungjo" w:eastAsia="AppleMyungjo" w:hAnsi="AppleMyungjo" w:cs="AppleMyungjo"/>
      <w:sz w:val="32"/>
      <w:szCs w:val="32"/>
    </w:rPr>
  </w:style>
  <w:style w:type="paragraph" w:customStyle="1" w:styleId="Heading30">
    <w:name w:val="Heading #3"/>
    <w:basedOn w:val="Normal"/>
    <w:link w:val="Heading3"/>
    <w:rsid w:val="00305F83"/>
    <w:pPr>
      <w:shd w:val="clear" w:color="auto" w:fill="FFFFFF"/>
      <w:spacing w:before="60" w:line="0" w:lineRule="atLeast"/>
      <w:ind w:hanging="5"/>
      <w:outlineLvl w:val="2"/>
    </w:pPr>
    <w:rPr>
      <w:rFonts w:ascii="AppleMyungjo" w:eastAsia="AppleMyungjo" w:hAnsi="AppleMyungjo" w:cs="AppleMyungjo"/>
      <w:sz w:val="22"/>
      <w:szCs w:val="22"/>
    </w:rPr>
  </w:style>
  <w:style w:type="paragraph" w:customStyle="1" w:styleId="Headerorfooter0">
    <w:name w:val="Header or footer"/>
    <w:basedOn w:val="Normal"/>
    <w:link w:val="Headerorfooter"/>
    <w:rsid w:val="00305F83"/>
    <w:pPr>
      <w:shd w:val="clear" w:color="auto" w:fill="FFFFFF"/>
      <w:spacing w:line="0" w:lineRule="atLeast"/>
      <w:ind w:firstLine="29"/>
    </w:pPr>
    <w:rPr>
      <w:rFonts w:ascii="AppleMyungjo" w:eastAsia="AppleMyungjo" w:hAnsi="AppleMyungjo" w:cs="AppleMyungjo"/>
      <w:spacing w:val="-20"/>
      <w:sz w:val="22"/>
      <w:szCs w:val="22"/>
    </w:rPr>
  </w:style>
  <w:style w:type="paragraph" w:customStyle="1" w:styleId="Bodytext40">
    <w:name w:val="Body text (4)"/>
    <w:basedOn w:val="Normal"/>
    <w:link w:val="Bodytext4"/>
    <w:rsid w:val="00305F83"/>
    <w:pPr>
      <w:shd w:val="clear" w:color="auto" w:fill="FFFFFF"/>
      <w:spacing w:before="120" w:line="0" w:lineRule="atLeast"/>
      <w:jc w:val="center"/>
    </w:pPr>
    <w:rPr>
      <w:rFonts w:ascii="AppleMyungjo" w:eastAsia="AppleMyungjo" w:hAnsi="AppleMyungjo" w:cs="AppleMyungjo"/>
      <w:b/>
      <w:bCs/>
      <w:sz w:val="22"/>
      <w:szCs w:val="22"/>
    </w:rPr>
  </w:style>
  <w:style w:type="paragraph" w:customStyle="1" w:styleId="Bodytext50">
    <w:name w:val="Body text (5)"/>
    <w:basedOn w:val="Normal"/>
    <w:link w:val="Bodytext5"/>
    <w:rsid w:val="00305F83"/>
    <w:pPr>
      <w:shd w:val="clear" w:color="auto" w:fill="FFFFFF"/>
      <w:spacing w:before="120" w:after="120" w:line="475" w:lineRule="exact"/>
      <w:ind w:hanging="247"/>
      <w:jc w:val="both"/>
    </w:pPr>
    <w:rPr>
      <w:rFonts w:ascii="AppleMyungjo" w:eastAsia="AppleMyungjo" w:hAnsi="AppleMyungjo" w:cs="AppleMyungjo"/>
      <w:i/>
      <w:iCs/>
      <w:sz w:val="22"/>
      <w:szCs w:val="22"/>
    </w:rPr>
  </w:style>
  <w:style w:type="paragraph" w:customStyle="1" w:styleId="Bodytext60">
    <w:name w:val="Body text (6)"/>
    <w:basedOn w:val="Normal"/>
    <w:link w:val="Bodytext6"/>
    <w:rsid w:val="00305F83"/>
    <w:pPr>
      <w:shd w:val="clear" w:color="auto" w:fill="FFFFFF"/>
      <w:spacing w:before="120" w:line="0" w:lineRule="atLeast"/>
      <w:jc w:val="center"/>
    </w:pPr>
    <w:rPr>
      <w:rFonts w:ascii="AppleMyungjo" w:eastAsia="AppleMyungjo" w:hAnsi="AppleMyungjo" w:cs="AppleMyungjo"/>
      <w:spacing w:val="-20"/>
      <w:sz w:val="22"/>
      <w:szCs w:val="22"/>
    </w:rPr>
  </w:style>
  <w:style w:type="paragraph" w:customStyle="1" w:styleId="Bodytext70">
    <w:name w:val="Body text (7)"/>
    <w:basedOn w:val="Normal"/>
    <w:link w:val="Bodytext7"/>
    <w:rsid w:val="00305F83"/>
    <w:pPr>
      <w:shd w:val="clear" w:color="auto" w:fill="FFFFFF"/>
      <w:spacing w:before="60" w:line="0" w:lineRule="atLeast"/>
      <w:jc w:val="center"/>
    </w:pPr>
    <w:rPr>
      <w:rFonts w:ascii="AppleMyungjo" w:eastAsia="AppleMyungjo" w:hAnsi="AppleMyungjo" w:cs="AppleMyungjo"/>
      <w:spacing w:val="-20"/>
      <w:sz w:val="22"/>
      <w:szCs w:val="22"/>
    </w:rPr>
  </w:style>
  <w:style w:type="paragraph" w:customStyle="1" w:styleId="Picturecaption20">
    <w:name w:val="Picture caption (2)"/>
    <w:basedOn w:val="Normal"/>
    <w:link w:val="Picturecaption2"/>
    <w:rsid w:val="00305F83"/>
    <w:pPr>
      <w:shd w:val="clear" w:color="auto" w:fill="FFFFFF"/>
      <w:spacing w:line="0" w:lineRule="atLeast"/>
      <w:ind w:firstLine="7"/>
    </w:pPr>
    <w:rPr>
      <w:rFonts w:ascii="AppleMyungjo" w:eastAsia="AppleMyungjo" w:hAnsi="AppleMyungjo" w:cs="AppleMyungjo"/>
      <w:sz w:val="14"/>
      <w:szCs w:val="14"/>
    </w:rPr>
  </w:style>
  <w:style w:type="paragraph" w:customStyle="1" w:styleId="Tablecaption0">
    <w:name w:val="Table caption"/>
    <w:basedOn w:val="Normal"/>
    <w:link w:val="Tablecaption"/>
    <w:rsid w:val="00305F83"/>
    <w:pPr>
      <w:shd w:val="clear" w:color="auto" w:fill="FFFFFF"/>
      <w:spacing w:line="288" w:lineRule="exact"/>
      <w:ind w:firstLine="30"/>
      <w:jc w:val="both"/>
    </w:pPr>
    <w:rPr>
      <w:rFonts w:ascii="AppleMyungjo" w:eastAsia="AppleMyungjo" w:hAnsi="AppleMyungjo" w:cs="AppleMyungjo"/>
      <w:sz w:val="22"/>
      <w:szCs w:val="22"/>
    </w:rPr>
  </w:style>
  <w:style w:type="paragraph" w:customStyle="1" w:styleId="Bodytext80">
    <w:name w:val="Body text (8)"/>
    <w:basedOn w:val="Normal"/>
    <w:link w:val="Bodytext8"/>
    <w:rsid w:val="00305F83"/>
    <w:pPr>
      <w:shd w:val="clear" w:color="auto" w:fill="FFFFFF"/>
      <w:spacing w:before="60" w:line="0" w:lineRule="atLeast"/>
      <w:ind w:hanging="2"/>
    </w:pPr>
    <w:rPr>
      <w:rFonts w:ascii="Times New Roman" w:eastAsia="Times New Roman" w:hAnsi="Times New Roman" w:cs="Times New Roman"/>
      <w:b/>
      <w:bCs/>
      <w:sz w:val="22"/>
      <w:szCs w:val="22"/>
    </w:rPr>
  </w:style>
  <w:style w:type="paragraph" w:customStyle="1" w:styleId="Bodytext9">
    <w:name w:val="Body text (9)"/>
    <w:basedOn w:val="Normal"/>
    <w:link w:val="Bodytext9Exact"/>
    <w:rsid w:val="00305F83"/>
    <w:pPr>
      <w:shd w:val="clear" w:color="auto" w:fill="FFFFFF"/>
      <w:spacing w:line="0" w:lineRule="atLeast"/>
      <w:ind w:firstLine="29"/>
    </w:pPr>
    <w:rPr>
      <w:rFonts w:ascii="Arial" w:eastAsia="Arial" w:hAnsi="Arial" w:cs="Arial"/>
      <w:sz w:val="14"/>
      <w:szCs w:val="14"/>
    </w:rPr>
  </w:style>
  <w:style w:type="paragraph" w:customStyle="1" w:styleId="Bodytext10">
    <w:name w:val="Body text (10)"/>
    <w:basedOn w:val="Normal"/>
    <w:link w:val="Bodytext10Exact"/>
    <w:rsid w:val="00305F83"/>
    <w:pPr>
      <w:shd w:val="clear" w:color="auto" w:fill="FFFFFF"/>
      <w:spacing w:line="0" w:lineRule="atLeast"/>
      <w:ind w:firstLine="26"/>
    </w:pPr>
    <w:rPr>
      <w:rFonts w:ascii="AppleMyungjo" w:eastAsia="AppleMyungjo" w:hAnsi="AppleMyungjo" w:cs="AppleMyungjo"/>
      <w:sz w:val="8"/>
      <w:szCs w:val="8"/>
    </w:rPr>
  </w:style>
  <w:style w:type="paragraph" w:customStyle="1" w:styleId="Bodytext11">
    <w:name w:val="Body text (11)"/>
    <w:basedOn w:val="Normal"/>
    <w:link w:val="Bodytext11Exact"/>
    <w:rsid w:val="00305F83"/>
    <w:pPr>
      <w:shd w:val="clear" w:color="auto" w:fill="FFFFFF"/>
      <w:spacing w:line="0" w:lineRule="atLeast"/>
      <w:ind w:firstLine="26"/>
    </w:pPr>
    <w:rPr>
      <w:rFonts w:ascii="AppleMyungjo" w:eastAsia="AppleMyungjo" w:hAnsi="AppleMyungjo" w:cs="AppleMyungjo"/>
      <w:sz w:val="13"/>
      <w:szCs w:val="13"/>
    </w:rPr>
  </w:style>
  <w:style w:type="paragraph" w:customStyle="1" w:styleId="Bodytext12">
    <w:name w:val="Body text (12)"/>
    <w:basedOn w:val="Normal"/>
    <w:link w:val="Bodytext12Exact"/>
    <w:rsid w:val="00305F83"/>
    <w:pPr>
      <w:shd w:val="clear" w:color="auto" w:fill="FFFFFF"/>
      <w:spacing w:line="72" w:lineRule="exact"/>
      <w:ind w:firstLine="25"/>
    </w:pPr>
    <w:rPr>
      <w:rFonts w:ascii="AppleMyungjo" w:eastAsia="AppleMyungjo" w:hAnsi="AppleMyungjo" w:cs="AppleMyungjo"/>
      <w:sz w:val="12"/>
      <w:szCs w:val="12"/>
    </w:rPr>
  </w:style>
  <w:style w:type="paragraph" w:customStyle="1" w:styleId="Bodytext13">
    <w:name w:val="Body text (13)"/>
    <w:basedOn w:val="Normal"/>
    <w:link w:val="Bodytext13Exact"/>
    <w:rsid w:val="00305F83"/>
    <w:pPr>
      <w:shd w:val="clear" w:color="auto" w:fill="FFFFFF"/>
      <w:spacing w:line="72" w:lineRule="exact"/>
      <w:ind w:firstLine="3"/>
    </w:pPr>
    <w:rPr>
      <w:rFonts w:ascii="Arial" w:eastAsia="Arial" w:hAnsi="Arial" w:cs="Arial"/>
      <w:sz w:val="13"/>
      <w:szCs w:val="13"/>
    </w:rPr>
  </w:style>
  <w:style w:type="paragraph" w:customStyle="1" w:styleId="Bodytext14">
    <w:name w:val="Body text (14)"/>
    <w:basedOn w:val="Normal"/>
    <w:link w:val="Bodytext14Exact"/>
    <w:rsid w:val="00305F83"/>
    <w:pPr>
      <w:shd w:val="clear" w:color="auto" w:fill="FFFFFF"/>
      <w:spacing w:after="60" w:line="0" w:lineRule="atLeast"/>
      <w:ind w:firstLine="110"/>
      <w:jc w:val="both"/>
    </w:pPr>
    <w:rPr>
      <w:rFonts w:ascii="AppleMyungjo" w:eastAsia="AppleMyungjo" w:hAnsi="AppleMyungjo" w:cs="AppleMyungjo"/>
      <w:spacing w:val="-20"/>
      <w:sz w:val="13"/>
      <w:szCs w:val="13"/>
    </w:rPr>
  </w:style>
  <w:style w:type="paragraph" w:customStyle="1" w:styleId="Bodytext15">
    <w:name w:val="Body text (15)"/>
    <w:basedOn w:val="Normal"/>
    <w:link w:val="Bodytext15Exact"/>
    <w:rsid w:val="00305F83"/>
    <w:pPr>
      <w:shd w:val="clear" w:color="auto" w:fill="FFFFFF"/>
      <w:spacing w:before="60" w:line="0" w:lineRule="atLeast"/>
      <w:ind w:firstLine="3"/>
      <w:jc w:val="both"/>
    </w:pPr>
    <w:rPr>
      <w:rFonts w:ascii="Arial" w:eastAsia="Arial" w:hAnsi="Arial" w:cs="Arial"/>
      <w:spacing w:val="30"/>
      <w:sz w:val="11"/>
      <w:szCs w:val="11"/>
    </w:rPr>
  </w:style>
  <w:style w:type="paragraph" w:customStyle="1" w:styleId="Picturecaption3">
    <w:name w:val="Picture caption (3)"/>
    <w:basedOn w:val="Normal"/>
    <w:link w:val="Picturecaption3Exact"/>
    <w:rsid w:val="00305F83"/>
    <w:pPr>
      <w:shd w:val="clear" w:color="auto" w:fill="FFFFFF"/>
      <w:spacing w:line="0" w:lineRule="atLeast"/>
      <w:ind w:firstLine="34"/>
    </w:pPr>
    <w:rPr>
      <w:rFonts w:ascii="Arial" w:eastAsia="Arial" w:hAnsi="Arial" w:cs="Arial"/>
      <w:sz w:val="14"/>
      <w:szCs w:val="14"/>
    </w:rPr>
  </w:style>
  <w:style w:type="paragraph" w:customStyle="1" w:styleId="Bodytext16">
    <w:name w:val="Body text (16)"/>
    <w:basedOn w:val="Normal"/>
    <w:link w:val="Bodytext16Exact"/>
    <w:rsid w:val="00305F83"/>
    <w:pPr>
      <w:shd w:val="clear" w:color="auto" w:fill="FFFFFF"/>
      <w:spacing w:line="0" w:lineRule="atLeast"/>
      <w:ind w:firstLine="29"/>
    </w:pPr>
    <w:rPr>
      <w:rFonts w:ascii="AppleMyungjo" w:eastAsia="AppleMyungjo" w:hAnsi="AppleMyungjo" w:cs="AppleMyungjo"/>
      <w:b/>
      <w:bCs/>
      <w:spacing w:val="-10"/>
      <w:sz w:val="22"/>
      <w:szCs w:val="22"/>
    </w:rPr>
  </w:style>
  <w:style w:type="paragraph" w:customStyle="1" w:styleId="Picturecaption4">
    <w:name w:val="Picture caption (4)"/>
    <w:basedOn w:val="Normal"/>
    <w:link w:val="Picturecaption4Exact"/>
    <w:rsid w:val="00305F83"/>
    <w:pPr>
      <w:shd w:val="clear" w:color="auto" w:fill="FFFFFF"/>
      <w:spacing w:line="0" w:lineRule="atLeast"/>
      <w:ind w:firstLine="29"/>
    </w:pPr>
    <w:rPr>
      <w:rFonts w:ascii="Arial" w:eastAsia="Arial" w:hAnsi="Arial" w:cs="Arial"/>
      <w:b/>
      <w:bCs/>
      <w:sz w:val="15"/>
      <w:szCs w:val="15"/>
    </w:rPr>
  </w:style>
  <w:style w:type="paragraph" w:customStyle="1" w:styleId="Bodytext170">
    <w:name w:val="Body text (17)"/>
    <w:basedOn w:val="Normal"/>
    <w:link w:val="Bodytext17"/>
    <w:rsid w:val="00305F83"/>
    <w:pPr>
      <w:shd w:val="clear" w:color="auto" w:fill="FFFFFF"/>
      <w:spacing w:before="60" w:line="0" w:lineRule="atLeast"/>
      <w:jc w:val="center"/>
    </w:pPr>
    <w:rPr>
      <w:rFonts w:ascii="Arial" w:eastAsia="Arial" w:hAnsi="Arial" w:cs="Arial"/>
      <w:sz w:val="21"/>
      <w:szCs w:val="21"/>
    </w:rPr>
  </w:style>
  <w:style w:type="paragraph" w:customStyle="1" w:styleId="Picturecaption0">
    <w:name w:val="Picture caption"/>
    <w:basedOn w:val="Normal"/>
    <w:link w:val="Picturecaption"/>
    <w:rsid w:val="00305F83"/>
    <w:pPr>
      <w:shd w:val="clear" w:color="auto" w:fill="FFFFFF"/>
      <w:spacing w:line="288" w:lineRule="exact"/>
      <w:ind w:firstLine="30"/>
      <w:jc w:val="both"/>
    </w:pPr>
    <w:rPr>
      <w:rFonts w:ascii="AppleMyungjo" w:eastAsia="AppleMyungjo" w:hAnsi="AppleMyungjo" w:cs="AppleMyungjo"/>
      <w:sz w:val="22"/>
      <w:szCs w:val="22"/>
    </w:rPr>
  </w:style>
  <w:style w:type="paragraph" w:customStyle="1" w:styleId="p1">
    <w:name w:val="p1"/>
    <w:basedOn w:val="Normal"/>
    <w:rsid w:val="00403314"/>
    <w:pPr>
      <w:widowControl/>
    </w:pPr>
    <w:rPr>
      <w:rFonts w:ascii="Times New Roman" w:hAnsi="Times New Roman" w:cs="Times New Roman"/>
      <w:color w:val="auto"/>
      <w:sz w:val="8"/>
      <w:szCs w:val="8"/>
      <w:lang w:bidi="ar-SA"/>
    </w:rPr>
  </w:style>
  <w:style w:type="paragraph" w:customStyle="1" w:styleId="p2">
    <w:name w:val="p2"/>
    <w:basedOn w:val="Normal"/>
    <w:rsid w:val="00403314"/>
    <w:pPr>
      <w:widowControl/>
      <w:spacing w:line="165" w:lineRule="atLeast"/>
    </w:pPr>
    <w:rPr>
      <w:rFonts w:ascii="Times New Roman" w:hAnsi="Times New Roman" w:cs="Times New Roman"/>
      <w:color w:val="auto"/>
      <w:sz w:val="18"/>
      <w:szCs w:val="18"/>
      <w:lang w:bidi="ar-SA"/>
    </w:rPr>
  </w:style>
  <w:style w:type="character" w:customStyle="1" w:styleId="s1">
    <w:name w:val="s1"/>
    <w:basedOn w:val="DefaultParagraphFont"/>
    <w:rsid w:val="00403314"/>
  </w:style>
  <w:style w:type="paragraph" w:styleId="FootnoteText">
    <w:name w:val="footnote text"/>
    <w:basedOn w:val="Normal"/>
    <w:link w:val="FootnoteTextChar"/>
    <w:uiPriority w:val="99"/>
    <w:unhideWhenUsed/>
    <w:rsid w:val="003002A5"/>
  </w:style>
  <w:style w:type="character" w:customStyle="1" w:styleId="FootnoteTextChar">
    <w:name w:val="Footnote Text Char"/>
    <w:basedOn w:val="DefaultParagraphFont"/>
    <w:link w:val="FootnoteText"/>
    <w:uiPriority w:val="99"/>
    <w:rsid w:val="003002A5"/>
    <w:rPr>
      <w:color w:val="000000"/>
    </w:rPr>
  </w:style>
  <w:style w:type="character" w:styleId="FootnoteReference">
    <w:name w:val="footnote reference"/>
    <w:basedOn w:val="DefaultParagraphFont"/>
    <w:uiPriority w:val="99"/>
    <w:unhideWhenUsed/>
    <w:rsid w:val="003002A5"/>
    <w:rPr>
      <w:vertAlign w:val="superscript"/>
    </w:rPr>
  </w:style>
  <w:style w:type="paragraph" w:styleId="Header">
    <w:name w:val="header"/>
    <w:basedOn w:val="Normal"/>
    <w:link w:val="HeaderChar"/>
    <w:uiPriority w:val="99"/>
    <w:unhideWhenUsed/>
    <w:rsid w:val="00AD521B"/>
    <w:pPr>
      <w:tabs>
        <w:tab w:val="center" w:pos="4680"/>
        <w:tab w:val="right" w:pos="9360"/>
      </w:tabs>
    </w:pPr>
  </w:style>
  <w:style w:type="character" w:customStyle="1" w:styleId="HeaderChar">
    <w:name w:val="Header Char"/>
    <w:basedOn w:val="DefaultParagraphFont"/>
    <w:link w:val="Header"/>
    <w:uiPriority w:val="99"/>
    <w:rsid w:val="00AD521B"/>
    <w:rPr>
      <w:color w:val="000000"/>
    </w:rPr>
  </w:style>
  <w:style w:type="paragraph" w:styleId="Footer">
    <w:name w:val="footer"/>
    <w:basedOn w:val="Normal"/>
    <w:link w:val="FooterChar"/>
    <w:uiPriority w:val="99"/>
    <w:unhideWhenUsed/>
    <w:rsid w:val="00AD521B"/>
    <w:pPr>
      <w:tabs>
        <w:tab w:val="center" w:pos="4680"/>
        <w:tab w:val="right" w:pos="9360"/>
      </w:tabs>
    </w:pPr>
  </w:style>
  <w:style w:type="character" w:customStyle="1" w:styleId="FooterChar">
    <w:name w:val="Footer Char"/>
    <w:basedOn w:val="DefaultParagraphFont"/>
    <w:link w:val="Footer"/>
    <w:uiPriority w:val="99"/>
    <w:rsid w:val="00AD521B"/>
    <w:rPr>
      <w:color w:val="000000"/>
    </w:rPr>
  </w:style>
  <w:style w:type="character" w:styleId="PageNumber">
    <w:name w:val="page number"/>
    <w:basedOn w:val="DefaultParagraphFont"/>
    <w:uiPriority w:val="99"/>
    <w:semiHidden/>
    <w:unhideWhenUsed/>
    <w:rsid w:val="0025374A"/>
  </w:style>
  <w:style w:type="character" w:styleId="FollowedHyperlink">
    <w:name w:val="FollowedHyperlink"/>
    <w:basedOn w:val="DefaultParagraphFont"/>
    <w:uiPriority w:val="99"/>
    <w:semiHidden/>
    <w:unhideWhenUsed/>
    <w:rsid w:val="00B15D5B"/>
    <w:rPr>
      <w:color w:val="954F72" w:themeColor="followedHyperlink"/>
      <w:u w:val="single"/>
    </w:rPr>
  </w:style>
  <w:style w:type="paragraph" w:customStyle="1" w:styleId="p3">
    <w:name w:val="p3"/>
    <w:basedOn w:val="Normal"/>
    <w:rsid w:val="00105698"/>
    <w:pPr>
      <w:widowControl/>
    </w:pPr>
    <w:rPr>
      <w:rFonts w:ascii="Times New Roman" w:hAnsi="Times New Roman" w:cs="Times New Roman"/>
      <w:color w:val="auto"/>
      <w:sz w:val="18"/>
      <w:szCs w:val="18"/>
      <w:lang w:bidi="ar-SA"/>
    </w:rPr>
  </w:style>
  <w:style w:type="paragraph" w:customStyle="1" w:styleId="p4">
    <w:name w:val="p4"/>
    <w:basedOn w:val="Normal"/>
    <w:rsid w:val="00105698"/>
    <w:pPr>
      <w:widowControl/>
      <w:spacing w:line="75" w:lineRule="atLeast"/>
    </w:pPr>
    <w:rPr>
      <w:rFonts w:ascii="Times New Roman" w:hAnsi="Times New Roman" w:cs="Times New Roman"/>
      <w:color w:val="auto"/>
      <w:sz w:val="18"/>
      <w:szCs w:val="18"/>
      <w:lang w:bidi="ar-SA"/>
    </w:rPr>
  </w:style>
  <w:style w:type="character" w:styleId="CommentReference">
    <w:name w:val="annotation reference"/>
    <w:basedOn w:val="DefaultParagraphFont"/>
    <w:uiPriority w:val="99"/>
    <w:semiHidden/>
    <w:unhideWhenUsed/>
    <w:rsid w:val="000A54AB"/>
    <w:rPr>
      <w:sz w:val="18"/>
      <w:szCs w:val="18"/>
    </w:rPr>
  </w:style>
  <w:style w:type="paragraph" w:styleId="CommentText">
    <w:name w:val="annotation text"/>
    <w:basedOn w:val="Normal"/>
    <w:link w:val="CommentTextChar"/>
    <w:uiPriority w:val="99"/>
    <w:semiHidden/>
    <w:unhideWhenUsed/>
    <w:rsid w:val="000A54AB"/>
  </w:style>
  <w:style w:type="character" w:customStyle="1" w:styleId="CommentTextChar">
    <w:name w:val="Comment Text Char"/>
    <w:basedOn w:val="DefaultParagraphFont"/>
    <w:link w:val="CommentText"/>
    <w:uiPriority w:val="99"/>
    <w:semiHidden/>
    <w:rsid w:val="000A54AB"/>
    <w:rPr>
      <w:color w:val="000000"/>
    </w:rPr>
  </w:style>
  <w:style w:type="paragraph" w:styleId="CommentSubject">
    <w:name w:val="annotation subject"/>
    <w:basedOn w:val="CommentText"/>
    <w:next w:val="CommentText"/>
    <w:link w:val="CommentSubjectChar"/>
    <w:uiPriority w:val="99"/>
    <w:semiHidden/>
    <w:unhideWhenUsed/>
    <w:rsid w:val="000A54AB"/>
    <w:rPr>
      <w:b/>
      <w:bCs/>
      <w:sz w:val="20"/>
      <w:szCs w:val="20"/>
    </w:rPr>
  </w:style>
  <w:style w:type="character" w:customStyle="1" w:styleId="CommentSubjectChar">
    <w:name w:val="Comment Subject Char"/>
    <w:basedOn w:val="CommentTextChar"/>
    <w:link w:val="CommentSubject"/>
    <w:uiPriority w:val="99"/>
    <w:semiHidden/>
    <w:rsid w:val="000A54AB"/>
    <w:rPr>
      <w:b/>
      <w:bCs/>
      <w:color w:val="000000"/>
      <w:sz w:val="20"/>
      <w:szCs w:val="20"/>
    </w:rPr>
  </w:style>
  <w:style w:type="paragraph" w:styleId="BalloonText">
    <w:name w:val="Balloon Text"/>
    <w:basedOn w:val="Normal"/>
    <w:link w:val="BalloonTextChar"/>
    <w:uiPriority w:val="99"/>
    <w:semiHidden/>
    <w:unhideWhenUsed/>
    <w:rsid w:val="000A54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54AB"/>
    <w:rPr>
      <w:rFonts w:ascii="Times New Roman" w:hAnsi="Times New Roman" w:cs="Times New Roman"/>
      <w:color w:val="000000"/>
      <w:sz w:val="18"/>
      <w:szCs w:val="18"/>
    </w:rPr>
  </w:style>
  <w:style w:type="paragraph" w:styleId="NormalWeb">
    <w:name w:val="Normal (Web)"/>
    <w:basedOn w:val="Normal"/>
    <w:uiPriority w:val="99"/>
    <w:rsid w:val="009E21CC"/>
    <w:pPr>
      <w:widowControl/>
      <w:spacing w:beforeLines="1" w:afterLines="1"/>
    </w:pPr>
    <w:rPr>
      <w:rFonts w:ascii="Times" w:hAnsi="Times" w:cs="Times New Roman"/>
      <w:color w:val="auto"/>
      <w:sz w:val="20"/>
      <w:szCs w:val="20"/>
      <w:lang w:bidi="ar-SA"/>
    </w:rPr>
  </w:style>
</w:styles>
</file>

<file path=word/webSettings.xml><?xml version="1.0" encoding="utf-8"?>
<w:webSettings xmlns:r="http://schemas.openxmlformats.org/officeDocument/2006/relationships" xmlns:w="http://schemas.openxmlformats.org/wordprocessingml/2006/main">
  <w:divs>
    <w:div w:id="10840010">
      <w:bodyDiv w:val="1"/>
      <w:marLeft w:val="0"/>
      <w:marRight w:val="0"/>
      <w:marTop w:val="0"/>
      <w:marBottom w:val="0"/>
      <w:divBdr>
        <w:top w:val="none" w:sz="0" w:space="0" w:color="auto"/>
        <w:left w:val="none" w:sz="0" w:space="0" w:color="auto"/>
        <w:bottom w:val="none" w:sz="0" w:space="0" w:color="auto"/>
        <w:right w:val="none" w:sz="0" w:space="0" w:color="auto"/>
      </w:divBdr>
    </w:div>
    <w:div w:id="47462184">
      <w:bodyDiv w:val="1"/>
      <w:marLeft w:val="0"/>
      <w:marRight w:val="0"/>
      <w:marTop w:val="0"/>
      <w:marBottom w:val="0"/>
      <w:divBdr>
        <w:top w:val="none" w:sz="0" w:space="0" w:color="auto"/>
        <w:left w:val="none" w:sz="0" w:space="0" w:color="auto"/>
        <w:bottom w:val="none" w:sz="0" w:space="0" w:color="auto"/>
        <w:right w:val="none" w:sz="0" w:space="0" w:color="auto"/>
      </w:divBdr>
    </w:div>
    <w:div w:id="116292850">
      <w:bodyDiv w:val="1"/>
      <w:marLeft w:val="0"/>
      <w:marRight w:val="0"/>
      <w:marTop w:val="0"/>
      <w:marBottom w:val="0"/>
      <w:divBdr>
        <w:top w:val="none" w:sz="0" w:space="0" w:color="auto"/>
        <w:left w:val="none" w:sz="0" w:space="0" w:color="auto"/>
        <w:bottom w:val="none" w:sz="0" w:space="0" w:color="auto"/>
        <w:right w:val="none" w:sz="0" w:space="0" w:color="auto"/>
      </w:divBdr>
    </w:div>
    <w:div w:id="143817382">
      <w:bodyDiv w:val="1"/>
      <w:marLeft w:val="0"/>
      <w:marRight w:val="0"/>
      <w:marTop w:val="0"/>
      <w:marBottom w:val="0"/>
      <w:divBdr>
        <w:top w:val="none" w:sz="0" w:space="0" w:color="auto"/>
        <w:left w:val="none" w:sz="0" w:space="0" w:color="auto"/>
        <w:bottom w:val="none" w:sz="0" w:space="0" w:color="auto"/>
        <w:right w:val="none" w:sz="0" w:space="0" w:color="auto"/>
      </w:divBdr>
      <w:divsChild>
        <w:div w:id="2052074472">
          <w:marLeft w:val="0"/>
          <w:marRight w:val="0"/>
          <w:marTop w:val="0"/>
          <w:marBottom w:val="0"/>
          <w:divBdr>
            <w:top w:val="none" w:sz="0" w:space="0" w:color="auto"/>
            <w:left w:val="none" w:sz="0" w:space="0" w:color="auto"/>
            <w:bottom w:val="none" w:sz="0" w:space="0" w:color="auto"/>
            <w:right w:val="none" w:sz="0" w:space="0" w:color="auto"/>
          </w:divBdr>
          <w:divsChild>
            <w:div w:id="1845436198">
              <w:marLeft w:val="0"/>
              <w:marRight w:val="0"/>
              <w:marTop w:val="0"/>
              <w:marBottom w:val="0"/>
              <w:divBdr>
                <w:top w:val="none" w:sz="0" w:space="0" w:color="auto"/>
                <w:left w:val="none" w:sz="0" w:space="0" w:color="auto"/>
                <w:bottom w:val="none" w:sz="0" w:space="0" w:color="auto"/>
                <w:right w:val="none" w:sz="0" w:space="0" w:color="auto"/>
              </w:divBdr>
              <w:divsChild>
                <w:div w:id="736905067">
                  <w:marLeft w:val="0"/>
                  <w:marRight w:val="0"/>
                  <w:marTop w:val="0"/>
                  <w:marBottom w:val="0"/>
                  <w:divBdr>
                    <w:top w:val="none" w:sz="0" w:space="0" w:color="auto"/>
                    <w:left w:val="none" w:sz="0" w:space="0" w:color="auto"/>
                    <w:bottom w:val="none" w:sz="0" w:space="0" w:color="auto"/>
                    <w:right w:val="none" w:sz="0" w:space="0" w:color="auto"/>
                  </w:divBdr>
                  <w:divsChild>
                    <w:div w:id="10947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08985">
      <w:bodyDiv w:val="1"/>
      <w:marLeft w:val="0"/>
      <w:marRight w:val="0"/>
      <w:marTop w:val="0"/>
      <w:marBottom w:val="0"/>
      <w:divBdr>
        <w:top w:val="none" w:sz="0" w:space="0" w:color="auto"/>
        <w:left w:val="none" w:sz="0" w:space="0" w:color="auto"/>
        <w:bottom w:val="none" w:sz="0" w:space="0" w:color="auto"/>
        <w:right w:val="none" w:sz="0" w:space="0" w:color="auto"/>
      </w:divBdr>
    </w:div>
    <w:div w:id="312753835">
      <w:bodyDiv w:val="1"/>
      <w:marLeft w:val="0"/>
      <w:marRight w:val="0"/>
      <w:marTop w:val="0"/>
      <w:marBottom w:val="0"/>
      <w:divBdr>
        <w:top w:val="none" w:sz="0" w:space="0" w:color="auto"/>
        <w:left w:val="none" w:sz="0" w:space="0" w:color="auto"/>
        <w:bottom w:val="none" w:sz="0" w:space="0" w:color="auto"/>
        <w:right w:val="none" w:sz="0" w:space="0" w:color="auto"/>
      </w:divBdr>
    </w:div>
    <w:div w:id="428429730">
      <w:bodyDiv w:val="1"/>
      <w:marLeft w:val="0"/>
      <w:marRight w:val="0"/>
      <w:marTop w:val="0"/>
      <w:marBottom w:val="0"/>
      <w:divBdr>
        <w:top w:val="none" w:sz="0" w:space="0" w:color="auto"/>
        <w:left w:val="none" w:sz="0" w:space="0" w:color="auto"/>
        <w:bottom w:val="none" w:sz="0" w:space="0" w:color="auto"/>
        <w:right w:val="none" w:sz="0" w:space="0" w:color="auto"/>
      </w:divBdr>
    </w:div>
    <w:div w:id="435711930">
      <w:bodyDiv w:val="1"/>
      <w:marLeft w:val="0"/>
      <w:marRight w:val="0"/>
      <w:marTop w:val="0"/>
      <w:marBottom w:val="0"/>
      <w:divBdr>
        <w:top w:val="none" w:sz="0" w:space="0" w:color="auto"/>
        <w:left w:val="none" w:sz="0" w:space="0" w:color="auto"/>
        <w:bottom w:val="none" w:sz="0" w:space="0" w:color="auto"/>
        <w:right w:val="none" w:sz="0" w:space="0" w:color="auto"/>
      </w:divBdr>
      <w:divsChild>
        <w:div w:id="673386047">
          <w:marLeft w:val="0"/>
          <w:marRight w:val="0"/>
          <w:marTop w:val="0"/>
          <w:marBottom w:val="0"/>
          <w:divBdr>
            <w:top w:val="none" w:sz="0" w:space="0" w:color="auto"/>
            <w:left w:val="none" w:sz="0" w:space="0" w:color="auto"/>
            <w:bottom w:val="none" w:sz="0" w:space="0" w:color="auto"/>
            <w:right w:val="none" w:sz="0" w:space="0" w:color="auto"/>
          </w:divBdr>
          <w:divsChild>
            <w:div w:id="350840200">
              <w:marLeft w:val="0"/>
              <w:marRight w:val="0"/>
              <w:marTop w:val="0"/>
              <w:marBottom w:val="0"/>
              <w:divBdr>
                <w:top w:val="none" w:sz="0" w:space="0" w:color="auto"/>
                <w:left w:val="none" w:sz="0" w:space="0" w:color="auto"/>
                <w:bottom w:val="none" w:sz="0" w:space="0" w:color="auto"/>
                <w:right w:val="none" w:sz="0" w:space="0" w:color="auto"/>
              </w:divBdr>
              <w:divsChild>
                <w:div w:id="1654598833">
                  <w:marLeft w:val="0"/>
                  <w:marRight w:val="0"/>
                  <w:marTop w:val="0"/>
                  <w:marBottom w:val="0"/>
                  <w:divBdr>
                    <w:top w:val="none" w:sz="0" w:space="0" w:color="auto"/>
                    <w:left w:val="none" w:sz="0" w:space="0" w:color="auto"/>
                    <w:bottom w:val="none" w:sz="0" w:space="0" w:color="auto"/>
                    <w:right w:val="none" w:sz="0" w:space="0" w:color="auto"/>
                  </w:divBdr>
                  <w:divsChild>
                    <w:div w:id="10015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642">
      <w:bodyDiv w:val="1"/>
      <w:marLeft w:val="0"/>
      <w:marRight w:val="0"/>
      <w:marTop w:val="0"/>
      <w:marBottom w:val="0"/>
      <w:divBdr>
        <w:top w:val="none" w:sz="0" w:space="0" w:color="auto"/>
        <w:left w:val="none" w:sz="0" w:space="0" w:color="auto"/>
        <w:bottom w:val="none" w:sz="0" w:space="0" w:color="auto"/>
        <w:right w:val="none" w:sz="0" w:space="0" w:color="auto"/>
      </w:divBdr>
    </w:div>
    <w:div w:id="489100748">
      <w:bodyDiv w:val="1"/>
      <w:marLeft w:val="0"/>
      <w:marRight w:val="0"/>
      <w:marTop w:val="0"/>
      <w:marBottom w:val="0"/>
      <w:divBdr>
        <w:top w:val="none" w:sz="0" w:space="0" w:color="auto"/>
        <w:left w:val="none" w:sz="0" w:space="0" w:color="auto"/>
        <w:bottom w:val="none" w:sz="0" w:space="0" w:color="auto"/>
        <w:right w:val="none" w:sz="0" w:space="0" w:color="auto"/>
      </w:divBdr>
    </w:div>
    <w:div w:id="618146400">
      <w:bodyDiv w:val="1"/>
      <w:marLeft w:val="0"/>
      <w:marRight w:val="0"/>
      <w:marTop w:val="0"/>
      <w:marBottom w:val="0"/>
      <w:divBdr>
        <w:top w:val="none" w:sz="0" w:space="0" w:color="auto"/>
        <w:left w:val="none" w:sz="0" w:space="0" w:color="auto"/>
        <w:bottom w:val="none" w:sz="0" w:space="0" w:color="auto"/>
        <w:right w:val="none" w:sz="0" w:space="0" w:color="auto"/>
      </w:divBdr>
    </w:div>
    <w:div w:id="759839427">
      <w:bodyDiv w:val="1"/>
      <w:marLeft w:val="0"/>
      <w:marRight w:val="0"/>
      <w:marTop w:val="0"/>
      <w:marBottom w:val="0"/>
      <w:divBdr>
        <w:top w:val="none" w:sz="0" w:space="0" w:color="auto"/>
        <w:left w:val="none" w:sz="0" w:space="0" w:color="auto"/>
        <w:bottom w:val="none" w:sz="0" w:space="0" w:color="auto"/>
        <w:right w:val="none" w:sz="0" w:space="0" w:color="auto"/>
      </w:divBdr>
    </w:div>
    <w:div w:id="765079175">
      <w:bodyDiv w:val="1"/>
      <w:marLeft w:val="0"/>
      <w:marRight w:val="0"/>
      <w:marTop w:val="0"/>
      <w:marBottom w:val="0"/>
      <w:divBdr>
        <w:top w:val="none" w:sz="0" w:space="0" w:color="auto"/>
        <w:left w:val="none" w:sz="0" w:space="0" w:color="auto"/>
        <w:bottom w:val="none" w:sz="0" w:space="0" w:color="auto"/>
        <w:right w:val="none" w:sz="0" w:space="0" w:color="auto"/>
      </w:divBdr>
      <w:divsChild>
        <w:div w:id="298613813">
          <w:marLeft w:val="0"/>
          <w:marRight w:val="0"/>
          <w:marTop w:val="0"/>
          <w:marBottom w:val="0"/>
          <w:divBdr>
            <w:top w:val="none" w:sz="0" w:space="0" w:color="auto"/>
            <w:left w:val="none" w:sz="0" w:space="0" w:color="auto"/>
            <w:bottom w:val="none" w:sz="0" w:space="0" w:color="auto"/>
            <w:right w:val="none" w:sz="0" w:space="0" w:color="auto"/>
          </w:divBdr>
          <w:divsChild>
            <w:div w:id="378865571">
              <w:marLeft w:val="0"/>
              <w:marRight w:val="0"/>
              <w:marTop w:val="0"/>
              <w:marBottom w:val="0"/>
              <w:divBdr>
                <w:top w:val="none" w:sz="0" w:space="0" w:color="auto"/>
                <w:left w:val="none" w:sz="0" w:space="0" w:color="auto"/>
                <w:bottom w:val="none" w:sz="0" w:space="0" w:color="auto"/>
                <w:right w:val="none" w:sz="0" w:space="0" w:color="auto"/>
              </w:divBdr>
              <w:divsChild>
                <w:div w:id="955646860">
                  <w:marLeft w:val="0"/>
                  <w:marRight w:val="0"/>
                  <w:marTop w:val="0"/>
                  <w:marBottom w:val="0"/>
                  <w:divBdr>
                    <w:top w:val="none" w:sz="0" w:space="0" w:color="auto"/>
                    <w:left w:val="none" w:sz="0" w:space="0" w:color="auto"/>
                    <w:bottom w:val="none" w:sz="0" w:space="0" w:color="auto"/>
                    <w:right w:val="none" w:sz="0" w:space="0" w:color="auto"/>
                  </w:divBdr>
                  <w:divsChild>
                    <w:div w:id="16389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1333">
      <w:bodyDiv w:val="1"/>
      <w:marLeft w:val="0"/>
      <w:marRight w:val="0"/>
      <w:marTop w:val="0"/>
      <w:marBottom w:val="0"/>
      <w:divBdr>
        <w:top w:val="none" w:sz="0" w:space="0" w:color="auto"/>
        <w:left w:val="none" w:sz="0" w:space="0" w:color="auto"/>
        <w:bottom w:val="none" w:sz="0" w:space="0" w:color="auto"/>
        <w:right w:val="none" w:sz="0" w:space="0" w:color="auto"/>
      </w:divBdr>
    </w:div>
    <w:div w:id="825710330">
      <w:bodyDiv w:val="1"/>
      <w:marLeft w:val="0"/>
      <w:marRight w:val="0"/>
      <w:marTop w:val="0"/>
      <w:marBottom w:val="0"/>
      <w:divBdr>
        <w:top w:val="none" w:sz="0" w:space="0" w:color="auto"/>
        <w:left w:val="none" w:sz="0" w:space="0" w:color="auto"/>
        <w:bottom w:val="none" w:sz="0" w:space="0" w:color="auto"/>
        <w:right w:val="none" w:sz="0" w:space="0" w:color="auto"/>
      </w:divBdr>
    </w:div>
    <w:div w:id="953631059">
      <w:bodyDiv w:val="1"/>
      <w:marLeft w:val="0"/>
      <w:marRight w:val="0"/>
      <w:marTop w:val="0"/>
      <w:marBottom w:val="0"/>
      <w:divBdr>
        <w:top w:val="none" w:sz="0" w:space="0" w:color="auto"/>
        <w:left w:val="none" w:sz="0" w:space="0" w:color="auto"/>
        <w:bottom w:val="none" w:sz="0" w:space="0" w:color="auto"/>
        <w:right w:val="none" w:sz="0" w:space="0" w:color="auto"/>
      </w:divBdr>
      <w:divsChild>
        <w:div w:id="1692101551">
          <w:marLeft w:val="0"/>
          <w:marRight w:val="0"/>
          <w:marTop w:val="0"/>
          <w:marBottom w:val="0"/>
          <w:divBdr>
            <w:top w:val="none" w:sz="0" w:space="0" w:color="auto"/>
            <w:left w:val="none" w:sz="0" w:space="0" w:color="auto"/>
            <w:bottom w:val="none" w:sz="0" w:space="0" w:color="auto"/>
            <w:right w:val="none" w:sz="0" w:space="0" w:color="auto"/>
          </w:divBdr>
          <w:divsChild>
            <w:div w:id="447819211">
              <w:marLeft w:val="0"/>
              <w:marRight w:val="0"/>
              <w:marTop w:val="0"/>
              <w:marBottom w:val="0"/>
              <w:divBdr>
                <w:top w:val="none" w:sz="0" w:space="0" w:color="auto"/>
                <w:left w:val="none" w:sz="0" w:space="0" w:color="auto"/>
                <w:bottom w:val="none" w:sz="0" w:space="0" w:color="auto"/>
                <w:right w:val="none" w:sz="0" w:space="0" w:color="auto"/>
              </w:divBdr>
              <w:divsChild>
                <w:div w:id="1639729047">
                  <w:marLeft w:val="0"/>
                  <w:marRight w:val="0"/>
                  <w:marTop w:val="0"/>
                  <w:marBottom w:val="0"/>
                  <w:divBdr>
                    <w:top w:val="none" w:sz="0" w:space="0" w:color="auto"/>
                    <w:left w:val="none" w:sz="0" w:space="0" w:color="auto"/>
                    <w:bottom w:val="none" w:sz="0" w:space="0" w:color="auto"/>
                    <w:right w:val="none" w:sz="0" w:space="0" w:color="auto"/>
                  </w:divBdr>
                  <w:divsChild>
                    <w:div w:id="5815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8075">
      <w:bodyDiv w:val="1"/>
      <w:marLeft w:val="0"/>
      <w:marRight w:val="0"/>
      <w:marTop w:val="0"/>
      <w:marBottom w:val="0"/>
      <w:divBdr>
        <w:top w:val="none" w:sz="0" w:space="0" w:color="auto"/>
        <w:left w:val="none" w:sz="0" w:space="0" w:color="auto"/>
        <w:bottom w:val="none" w:sz="0" w:space="0" w:color="auto"/>
        <w:right w:val="none" w:sz="0" w:space="0" w:color="auto"/>
      </w:divBdr>
    </w:div>
    <w:div w:id="1043168673">
      <w:bodyDiv w:val="1"/>
      <w:marLeft w:val="0"/>
      <w:marRight w:val="0"/>
      <w:marTop w:val="0"/>
      <w:marBottom w:val="0"/>
      <w:divBdr>
        <w:top w:val="none" w:sz="0" w:space="0" w:color="auto"/>
        <w:left w:val="none" w:sz="0" w:space="0" w:color="auto"/>
        <w:bottom w:val="none" w:sz="0" w:space="0" w:color="auto"/>
        <w:right w:val="none" w:sz="0" w:space="0" w:color="auto"/>
      </w:divBdr>
    </w:div>
    <w:div w:id="1203320761">
      <w:bodyDiv w:val="1"/>
      <w:marLeft w:val="0"/>
      <w:marRight w:val="0"/>
      <w:marTop w:val="0"/>
      <w:marBottom w:val="0"/>
      <w:divBdr>
        <w:top w:val="none" w:sz="0" w:space="0" w:color="auto"/>
        <w:left w:val="none" w:sz="0" w:space="0" w:color="auto"/>
        <w:bottom w:val="none" w:sz="0" w:space="0" w:color="auto"/>
        <w:right w:val="none" w:sz="0" w:space="0" w:color="auto"/>
      </w:divBdr>
    </w:div>
    <w:div w:id="1208374905">
      <w:bodyDiv w:val="1"/>
      <w:marLeft w:val="0"/>
      <w:marRight w:val="0"/>
      <w:marTop w:val="0"/>
      <w:marBottom w:val="0"/>
      <w:divBdr>
        <w:top w:val="none" w:sz="0" w:space="0" w:color="auto"/>
        <w:left w:val="none" w:sz="0" w:space="0" w:color="auto"/>
        <w:bottom w:val="none" w:sz="0" w:space="0" w:color="auto"/>
        <w:right w:val="none" w:sz="0" w:space="0" w:color="auto"/>
      </w:divBdr>
    </w:div>
    <w:div w:id="1266689532">
      <w:bodyDiv w:val="1"/>
      <w:marLeft w:val="0"/>
      <w:marRight w:val="0"/>
      <w:marTop w:val="0"/>
      <w:marBottom w:val="0"/>
      <w:divBdr>
        <w:top w:val="none" w:sz="0" w:space="0" w:color="auto"/>
        <w:left w:val="none" w:sz="0" w:space="0" w:color="auto"/>
        <w:bottom w:val="none" w:sz="0" w:space="0" w:color="auto"/>
        <w:right w:val="none" w:sz="0" w:space="0" w:color="auto"/>
      </w:divBdr>
    </w:div>
    <w:div w:id="1339842663">
      <w:bodyDiv w:val="1"/>
      <w:marLeft w:val="0"/>
      <w:marRight w:val="0"/>
      <w:marTop w:val="0"/>
      <w:marBottom w:val="0"/>
      <w:divBdr>
        <w:top w:val="none" w:sz="0" w:space="0" w:color="auto"/>
        <w:left w:val="none" w:sz="0" w:space="0" w:color="auto"/>
        <w:bottom w:val="none" w:sz="0" w:space="0" w:color="auto"/>
        <w:right w:val="none" w:sz="0" w:space="0" w:color="auto"/>
      </w:divBdr>
    </w:div>
    <w:div w:id="1366951751">
      <w:bodyDiv w:val="1"/>
      <w:marLeft w:val="0"/>
      <w:marRight w:val="0"/>
      <w:marTop w:val="0"/>
      <w:marBottom w:val="0"/>
      <w:divBdr>
        <w:top w:val="none" w:sz="0" w:space="0" w:color="auto"/>
        <w:left w:val="none" w:sz="0" w:space="0" w:color="auto"/>
        <w:bottom w:val="none" w:sz="0" w:space="0" w:color="auto"/>
        <w:right w:val="none" w:sz="0" w:space="0" w:color="auto"/>
      </w:divBdr>
    </w:div>
    <w:div w:id="1461000496">
      <w:bodyDiv w:val="1"/>
      <w:marLeft w:val="0"/>
      <w:marRight w:val="0"/>
      <w:marTop w:val="0"/>
      <w:marBottom w:val="0"/>
      <w:divBdr>
        <w:top w:val="none" w:sz="0" w:space="0" w:color="auto"/>
        <w:left w:val="none" w:sz="0" w:space="0" w:color="auto"/>
        <w:bottom w:val="none" w:sz="0" w:space="0" w:color="auto"/>
        <w:right w:val="none" w:sz="0" w:space="0" w:color="auto"/>
      </w:divBdr>
    </w:div>
    <w:div w:id="1463958416">
      <w:bodyDiv w:val="1"/>
      <w:marLeft w:val="0"/>
      <w:marRight w:val="0"/>
      <w:marTop w:val="0"/>
      <w:marBottom w:val="0"/>
      <w:divBdr>
        <w:top w:val="none" w:sz="0" w:space="0" w:color="auto"/>
        <w:left w:val="none" w:sz="0" w:space="0" w:color="auto"/>
        <w:bottom w:val="none" w:sz="0" w:space="0" w:color="auto"/>
        <w:right w:val="none" w:sz="0" w:space="0" w:color="auto"/>
      </w:divBdr>
    </w:div>
    <w:div w:id="1533300564">
      <w:bodyDiv w:val="1"/>
      <w:marLeft w:val="0"/>
      <w:marRight w:val="0"/>
      <w:marTop w:val="0"/>
      <w:marBottom w:val="0"/>
      <w:divBdr>
        <w:top w:val="none" w:sz="0" w:space="0" w:color="auto"/>
        <w:left w:val="none" w:sz="0" w:space="0" w:color="auto"/>
        <w:bottom w:val="none" w:sz="0" w:space="0" w:color="auto"/>
        <w:right w:val="none" w:sz="0" w:space="0" w:color="auto"/>
      </w:divBdr>
    </w:div>
    <w:div w:id="1633752616">
      <w:bodyDiv w:val="1"/>
      <w:marLeft w:val="0"/>
      <w:marRight w:val="0"/>
      <w:marTop w:val="0"/>
      <w:marBottom w:val="0"/>
      <w:divBdr>
        <w:top w:val="none" w:sz="0" w:space="0" w:color="auto"/>
        <w:left w:val="none" w:sz="0" w:space="0" w:color="auto"/>
        <w:bottom w:val="none" w:sz="0" w:space="0" w:color="auto"/>
        <w:right w:val="none" w:sz="0" w:space="0" w:color="auto"/>
      </w:divBdr>
    </w:div>
    <w:div w:id="1793087132">
      <w:bodyDiv w:val="1"/>
      <w:marLeft w:val="0"/>
      <w:marRight w:val="0"/>
      <w:marTop w:val="0"/>
      <w:marBottom w:val="0"/>
      <w:divBdr>
        <w:top w:val="none" w:sz="0" w:space="0" w:color="auto"/>
        <w:left w:val="none" w:sz="0" w:space="0" w:color="auto"/>
        <w:bottom w:val="none" w:sz="0" w:space="0" w:color="auto"/>
        <w:right w:val="none" w:sz="0" w:space="0" w:color="auto"/>
      </w:divBdr>
    </w:div>
    <w:div w:id="1823542409">
      <w:bodyDiv w:val="1"/>
      <w:marLeft w:val="0"/>
      <w:marRight w:val="0"/>
      <w:marTop w:val="0"/>
      <w:marBottom w:val="0"/>
      <w:divBdr>
        <w:top w:val="none" w:sz="0" w:space="0" w:color="auto"/>
        <w:left w:val="none" w:sz="0" w:space="0" w:color="auto"/>
        <w:bottom w:val="none" w:sz="0" w:space="0" w:color="auto"/>
        <w:right w:val="none" w:sz="0" w:space="0" w:color="auto"/>
      </w:divBdr>
    </w:div>
    <w:div w:id="21015566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41</Pages>
  <Words>9627</Words>
  <Characters>54878</Characters>
  <Application>Microsoft Macintosh Word</Application>
  <DocSecurity>0</DocSecurity>
  <Lines>457</Lines>
  <Paragraphs>109</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67394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 Hinkle</cp:lastModifiedBy>
  <cp:revision>18</cp:revision>
  <dcterms:created xsi:type="dcterms:W3CDTF">2017-03-12T19:10:00Z</dcterms:created>
  <dcterms:modified xsi:type="dcterms:W3CDTF">2017-03-20T17:44:00Z</dcterms:modified>
</cp:coreProperties>
</file>